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5A02DA98" w14:textId="77777777" w:rsidTr="0047741D">
        <w:trPr>
          <w:gridAfter w:val="1"/>
          <w:wAfter w:w="2835" w:type="dxa"/>
          <w:cantSplit/>
          <w:trHeight w:val="569"/>
        </w:trPr>
        <w:tc>
          <w:tcPr>
            <w:tcW w:w="4786" w:type="dxa"/>
            <w:shd w:val="clear" w:color="auto" w:fill="BFBFBF"/>
            <w:vAlign w:val="center"/>
          </w:tcPr>
          <w:p w14:paraId="5A02DA96" w14:textId="77777777"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A02DB2C" wp14:editId="5A02DB2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5A02DA97" w14:textId="77777777" w:rsidR="002F5C5E" w:rsidRPr="009E2B84" w:rsidRDefault="002F5C5E" w:rsidP="00AC4A99">
            <w:pPr>
              <w:jc w:val="center"/>
              <w:rPr>
                <w:b/>
              </w:rPr>
            </w:pPr>
            <w:r w:rsidRPr="009E2B84">
              <w:rPr>
                <w:b/>
              </w:rPr>
              <w:t>ON</w:t>
            </w:r>
          </w:p>
        </w:tc>
      </w:tr>
      <w:tr w:rsidR="002F5C5E" w:rsidRPr="009E2B84" w14:paraId="5A02DA9B" w14:textId="77777777" w:rsidTr="0047741D">
        <w:trPr>
          <w:gridAfter w:val="1"/>
          <w:wAfter w:w="2835" w:type="dxa"/>
          <w:cantSplit/>
          <w:trHeight w:val="654"/>
        </w:trPr>
        <w:tc>
          <w:tcPr>
            <w:tcW w:w="4786" w:type="dxa"/>
            <w:tcBorders>
              <w:bottom w:val="nil"/>
            </w:tcBorders>
            <w:vAlign w:val="center"/>
          </w:tcPr>
          <w:p w14:paraId="5A02DA99" w14:textId="77777777" w:rsidR="002F5C5E" w:rsidRPr="00BE2A3F" w:rsidRDefault="00A55DAC" w:rsidP="00A87399">
            <w:pPr>
              <w:rPr>
                <w:b/>
                <w:szCs w:val="22"/>
              </w:rPr>
            </w:pPr>
            <w:r>
              <w:rPr>
                <w:b/>
                <w:szCs w:val="22"/>
              </w:rPr>
              <w:t>Licensing Committee</w:t>
            </w:r>
          </w:p>
        </w:tc>
        <w:tc>
          <w:tcPr>
            <w:tcW w:w="2268" w:type="dxa"/>
            <w:gridSpan w:val="2"/>
            <w:tcBorders>
              <w:bottom w:val="nil"/>
            </w:tcBorders>
            <w:vAlign w:val="center"/>
          </w:tcPr>
          <w:p w14:paraId="5A02DA9A" w14:textId="77777777" w:rsidR="002F5C5E" w:rsidRPr="009E2B84" w:rsidRDefault="00766F71" w:rsidP="001343F3">
            <w:pPr>
              <w:jc w:val="center"/>
              <w:rPr>
                <w:b/>
              </w:rPr>
            </w:pPr>
            <w:r>
              <w:rPr>
                <w:b/>
              </w:rPr>
              <w:t>24 July 2018</w:t>
            </w:r>
          </w:p>
        </w:tc>
      </w:tr>
      <w:tr w:rsidR="002F5C5E" w:rsidRPr="009E2B84" w14:paraId="5A02DA9D" w14:textId="77777777" w:rsidTr="0047741D">
        <w:trPr>
          <w:gridAfter w:val="1"/>
          <w:wAfter w:w="2835" w:type="dxa"/>
          <w:cantSplit/>
          <w:trHeight w:val="560"/>
        </w:trPr>
        <w:tc>
          <w:tcPr>
            <w:tcW w:w="7054" w:type="dxa"/>
            <w:gridSpan w:val="3"/>
            <w:tcBorders>
              <w:left w:val="nil"/>
              <w:right w:val="nil"/>
            </w:tcBorders>
          </w:tcPr>
          <w:p w14:paraId="5A02DA9C" w14:textId="77777777" w:rsidR="002F5C5E" w:rsidRPr="009E2B84" w:rsidRDefault="002F5C5E" w:rsidP="003902A2">
            <w:pPr>
              <w:jc w:val="right"/>
              <w:rPr>
                <w:sz w:val="8"/>
              </w:rPr>
            </w:pPr>
          </w:p>
        </w:tc>
      </w:tr>
      <w:tr w:rsidR="0047741D" w:rsidRPr="009E2B84" w14:paraId="5A02DAA0" w14:textId="77777777" w:rsidTr="0047741D">
        <w:trPr>
          <w:cantSplit/>
        </w:trPr>
        <w:tc>
          <w:tcPr>
            <w:tcW w:w="6912" w:type="dxa"/>
            <w:gridSpan w:val="2"/>
            <w:shd w:val="clear" w:color="auto" w:fill="BFBFBF"/>
            <w:vAlign w:val="center"/>
          </w:tcPr>
          <w:p w14:paraId="5A02DA9E"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5A02DA9F" w14:textId="77777777" w:rsidR="0047741D" w:rsidRPr="009E2B84" w:rsidRDefault="0047741D" w:rsidP="00E2196F">
            <w:pPr>
              <w:jc w:val="center"/>
              <w:rPr>
                <w:b/>
              </w:rPr>
            </w:pPr>
            <w:r>
              <w:rPr>
                <w:b/>
              </w:rPr>
              <w:t>REPORT OF</w:t>
            </w:r>
          </w:p>
        </w:tc>
      </w:tr>
      <w:tr w:rsidR="0047741D" w:rsidRPr="009E2B84" w14:paraId="5A02DAA4" w14:textId="77777777" w:rsidTr="0047741D">
        <w:trPr>
          <w:cantSplit/>
          <w:trHeight w:val="667"/>
        </w:trPr>
        <w:tc>
          <w:tcPr>
            <w:tcW w:w="6912" w:type="dxa"/>
            <w:gridSpan w:val="2"/>
            <w:vAlign w:val="center"/>
          </w:tcPr>
          <w:p w14:paraId="5A02DAA1" w14:textId="77777777" w:rsidR="00F040CF" w:rsidRDefault="00922761" w:rsidP="001B1D4F">
            <w:pPr>
              <w:rPr>
                <w:b/>
              </w:rPr>
            </w:pPr>
            <w:r>
              <w:rPr>
                <w:b/>
              </w:rPr>
              <w:t xml:space="preserve">Updated Hearing </w:t>
            </w:r>
            <w:r w:rsidR="009A5E0E">
              <w:rPr>
                <w:b/>
              </w:rPr>
              <w:t>Guidance</w:t>
            </w:r>
          </w:p>
          <w:p w14:paraId="5A02DAA2" w14:textId="77777777" w:rsidR="001B1D4F" w:rsidRPr="009E2B84" w:rsidRDefault="001B1D4F" w:rsidP="002A671F">
            <w:pPr>
              <w:rPr>
                <w:b/>
              </w:rPr>
            </w:pPr>
          </w:p>
        </w:tc>
        <w:tc>
          <w:tcPr>
            <w:tcW w:w="2977" w:type="dxa"/>
            <w:gridSpan w:val="2"/>
            <w:vAlign w:val="center"/>
          </w:tcPr>
          <w:p w14:paraId="5A02DAA3" w14:textId="77777777" w:rsidR="0047741D" w:rsidRPr="005368C1" w:rsidRDefault="005368C1" w:rsidP="00604A18">
            <w:r>
              <w:t>Head of Licensing</w:t>
            </w:r>
          </w:p>
        </w:tc>
      </w:tr>
    </w:tbl>
    <w:p w14:paraId="5A02DAA5" w14:textId="77777777" w:rsidR="002F5C5E" w:rsidRPr="009E2B84" w:rsidRDefault="002F5C5E" w:rsidP="002F5C5E"/>
    <w:p w14:paraId="5A02DAA6"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5A02DAAB" w14:textId="77777777" w:rsidTr="00E2196F">
        <w:tc>
          <w:tcPr>
            <w:tcW w:w="6652" w:type="dxa"/>
            <w:shd w:val="clear" w:color="auto" w:fill="auto"/>
          </w:tcPr>
          <w:p w14:paraId="5A02DAA7" w14:textId="77777777" w:rsidR="0047741D" w:rsidRDefault="0047741D" w:rsidP="00E2196F">
            <w:pPr>
              <w:rPr>
                <w:szCs w:val="22"/>
              </w:rPr>
            </w:pPr>
          </w:p>
          <w:p w14:paraId="5A02DAA8" w14:textId="77777777" w:rsidR="0047741D" w:rsidRPr="009C1143" w:rsidRDefault="0047741D" w:rsidP="00E2196F">
            <w:pPr>
              <w:rPr>
                <w:szCs w:val="22"/>
              </w:rPr>
            </w:pPr>
            <w:r>
              <w:rPr>
                <w:szCs w:val="22"/>
              </w:rPr>
              <w:t>Is this report confidential?</w:t>
            </w:r>
          </w:p>
        </w:tc>
        <w:tc>
          <w:tcPr>
            <w:tcW w:w="3266" w:type="dxa"/>
            <w:shd w:val="clear" w:color="auto" w:fill="auto"/>
          </w:tcPr>
          <w:p w14:paraId="5A02DAA9" w14:textId="77777777" w:rsidR="001B1D4F" w:rsidRDefault="001B1D4F" w:rsidP="00E2196F">
            <w:pPr>
              <w:rPr>
                <w:b/>
                <w:szCs w:val="22"/>
              </w:rPr>
            </w:pPr>
          </w:p>
          <w:p w14:paraId="5A02DAAA" w14:textId="77777777" w:rsidR="0047741D" w:rsidRPr="009C1143" w:rsidRDefault="00142109">
            <w:pPr>
              <w:rPr>
                <w:szCs w:val="22"/>
              </w:rPr>
            </w:pPr>
            <w:r>
              <w:rPr>
                <w:b/>
                <w:szCs w:val="22"/>
              </w:rPr>
              <w:t>No</w:t>
            </w:r>
          </w:p>
        </w:tc>
      </w:tr>
    </w:tbl>
    <w:p w14:paraId="5A02DAAC" w14:textId="77777777" w:rsidR="0047741D" w:rsidRDefault="0047741D" w:rsidP="002F5C5E">
      <w:pPr>
        <w:rPr>
          <w:sz w:val="16"/>
          <w:szCs w:val="16"/>
        </w:rPr>
      </w:pPr>
    </w:p>
    <w:p w14:paraId="5A02DAAD" w14:textId="77777777" w:rsidR="00EB2D32" w:rsidRPr="009C1143" w:rsidRDefault="00EB2D32" w:rsidP="002F5C5E">
      <w:pPr>
        <w:rPr>
          <w:sz w:val="16"/>
          <w:szCs w:val="16"/>
        </w:rPr>
      </w:pPr>
    </w:p>
    <w:p w14:paraId="5A02DAAE" w14:textId="77777777" w:rsidR="002F5C5E" w:rsidRPr="002A671F" w:rsidRDefault="002F5C5E" w:rsidP="00F4022F">
      <w:pPr>
        <w:keepNext/>
        <w:numPr>
          <w:ilvl w:val="0"/>
          <w:numId w:val="8"/>
        </w:numPr>
        <w:outlineLvl w:val="0"/>
        <w:rPr>
          <w:rFonts w:cs="Arial"/>
          <w:b/>
          <w:szCs w:val="22"/>
        </w:rPr>
      </w:pPr>
      <w:r w:rsidRPr="009C1143">
        <w:rPr>
          <w:b/>
          <w:szCs w:val="22"/>
        </w:rPr>
        <w:t xml:space="preserve">PURPOSE OF THE REPORT  </w:t>
      </w:r>
    </w:p>
    <w:p w14:paraId="5A02DAAF" w14:textId="77777777" w:rsidR="007D610E" w:rsidRDefault="007D610E" w:rsidP="00A87399">
      <w:pPr>
        <w:pStyle w:val="ListParagraph"/>
        <w:keepNext/>
        <w:ind w:left="360"/>
        <w:outlineLvl w:val="0"/>
      </w:pPr>
    </w:p>
    <w:p w14:paraId="5A02DAB0" w14:textId="77777777" w:rsidR="00A55DAC" w:rsidRDefault="00A55DAC" w:rsidP="001343F3">
      <w:pPr>
        <w:pStyle w:val="BodyText"/>
        <w:tabs>
          <w:tab w:val="clear" w:pos="540"/>
          <w:tab w:val="left" w:pos="0"/>
        </w:tabs>
        <w:jc w:val="left"/>
        <w:rPr>
          <w:sz w:val="22"/>
        </w:rPr>
      </w:pPr>
      <w:r>
        <w:rPr>
          <w:sz w:val="22"/>
        </w:rPr>
        <w:t xml:space="preserve">For the Committee to consider </w:t>
      </w:r>
      <w:r w:rsidR="00742044">
        <w:rPr>
          <w:sz w:val="22"/>
        </w:rPr>
        <w:t>the updated guidance in relation to the hearings process in respect of Licensing Panel hearings</w:t>
      </w:r>
    </w:p>
    <w:p w14:paraId="5A02DAB1" w14:textId="77777777" w:rsidR="00A55DAC" w:rsidRDefault="00A55DAC" w:rsidP="00A55DAC">
      <w:pPr>
        <w:pStyle w:val="BodyText"/>
        <w:tabs>
          <w:tab w:val="clear" w:pos="540"/>
          <w:tab w:val="left" w:pos="709"/>
        </w:tabs>
        <w:ind w:left="709" w:hanging="709"/>
        <w:jc w:val="left"/>
        <w:rPr>
          <w:sz w:val="22"/>
        </w:rPr>
      </w:pPr>
    </w:p>
    <w:p w14:paraId="5A02DAB2" w14:textId="77777777" w:rsidR="002F5C5E" w:rsidRPr="00A87399" w:rsidRDefault="00A87399" w:rsidP="00A87399">
      <w:pPr>
        <w:keepNext/>
        <w:outlineLvl w:val="0"/>
        <w:rPr>
          <w:rFonts w:cs="Arial"/>
          <w:b/>
        </w:rPr>
      </w:pPr>
      <w:r>
        <w:rPr>
          <w:rFonts w:cs="Arial"/>
          <w:b/>
        </w:rPr>
        <w:t xml:space="preserve">2   </w:t>
      </w:r>
      <w:r w:rsidR="002F5C5E" w:rsidRPr="00A87399">
        <w:rPr>
          <w:rFonts w:cs="Arial"/>
          <w:b/>
        </w:rPr>
        <w:t>CORPORATE PRIORITIES</w:t>
      </w:r>
    </w:p>
    <w:p w14:paraId="5A02DAB3" w14:textId="77777777" w:rsidR="00772B9C" w:rsidRPr="00F4022F" w:rsidRDefault="00772B9C" w:rsidP="00F4022F">
      <w:pPr>
        <w:keepNext/>
        <w:outlineLvl w:val="0"/>
        <w:rPr>
          <w:rFonts w:cs="Arial"/>
          <w:b/>
          <w:szCs w:val="22"/>
        </w:rPr>
      </w:pPr>
    </w:p>
    <w:p w14:paraId="5A02DAB4" w14:textId="77777777"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14:paraId="5A02DAB5" w14:textId="77777777"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14:paraId="5A02DAB9" w14:textId="77777777" w:rsidTr="000E4458">
        <w:tc>
          <w:tcPr>
            <w:tcW w:w="4423" w:type="dxa"/>
            <w:shd w:val="clear" w:color="auto" w:fill="auto"/>
          </w:tcPr>
          <w:p w14:paraId="5A02DAB6" w14:textId="77777777" w:rsidR="00772B9C" w:rsidRPr="00F4022F" w:rsidRDefault="00772B9C" w:rsidP="00F4022F">
            <w:pPr>
              <w:rPr>
                <w:rFonts w:cs="Arial"/>
                <w:szCs w:val="22"/>
              </w:rPr>
            </w:pPr>
            <w:r w:rsidRPr="00F4022F">
              <w:rPr>
                <w:rFonts w:cs="Arial"/>
                <w:szCs w:val="22"/>
              </w:rPr>
              <w:t>Excellence and Financial Sustainability</w:t>
            </w:r>
          </w:p>
          <w:p w14:paraId="5A02DAB7" w14:textId="77777777" w:rsidR="00772B9C" w:rsidRPr="00F4022F" w:rsidRDefault="00772B9C" w:rsidP="00F4022F">
            <w:pPr>
              <w:rPr>
                <w:rFonts w:cs="Arial"/>
                <w:szCs w:val="22"/>
              </w:rPr>
            </w:pPr>
          </w:p>
        </w:tc>
        <w:tc>
          <w:tcPr>
            <w:tcW w:w="850" w:type="dxa"/>
            <w:shd w:val="clear" w:color="auto" w:fill="auto"/>
          </w:tcPr>
          <w:p w14:paraId="5A02DAB8" w14:textId="77777777" w:rsidR="00772B9C" w:rsidRPr="00F4022F" w:rsidRDefault="00A55DAC" w:rsidP="00F4022F">
            <w:pPr>
              <w:rPr>
                <w:rFonts w:cs="Arial"/>
                <w:szCs w:val="22"/>
                <w:highlight w:val="yellow"/>
              </w:rPr>
            </w:pPr>
            <w:r w:rsidRPr="001343F3">
              <w:rPr>
                <w:rFonts w:cs="Arial"/>
                <w:szCs w:val="22"/>
              </w:rPr>
              <w:t>x</w:t>
            </w:r>
          </w:p>
        </w:tc>
      </w:tr>
      <w:tr w:rsidR="00772B9C" w:rsidRPr="00F4022F" w14:paraId="5A02DABD" w14:textId="77777777" w:rsidTr="000E4458">
        <w:tc>
          <w:tcPr>
            <w:tcW w:w="4423" w:type="dxa"/>
            <w:shd w:val="clear" w:color="auto" w:fill="auto"/>
          </w:tcPr>
          <w:p w14:paraId="5A02DABA" w14:textId="77777777" w:rsidR="00772B9C" w:rsidRPr="00F4022F" w:rsidRDefault="00772B9C" w:rsidP="00F4022F">
            <w:pPr>
              <w:rPr>
                <w:rFonts w:cs="Arial"/>
                <w:szCs w:val="22"/>
              </w:rPr>
            </w:pPr>
            <w:r w:rsidRPr="00F4022F">
              <w:rPr>
                <w:rFonts w:cs="Arial"/>
                <w:szCs w:val="22"/>
              </w:rPr>
              <w:t>Health and Wellbeing</w:t>
            </w:r>
          </w:p>
          <w:p w14:paraId="5A02DABB" w14:textId="77777777" w:rsidR="00772B9C" w:rsidRPr="00F4022F" w:rsidRDefault="00772B9C" w:rsidP="00F4022F">
            <w:pPr>
              <w:rPr>
                <w:rFonts w:cs="Arial"/>
                <w:szCs w:val="22"/>
              </w:rPr>
            </w:pPr>
          </w:p>
        </w:tc>
        <w:tc>
          <w:tcPr>
            <w:tcW w:w="850" w:type="dxa"/>
            <w:shd w:val="clear" w:color="auto" w:fill="auto"/>
          </w:tcPr>
          <w:p w14:paraId="5A02DABC" w14:textId="77777777" w:rsidR="00772B9C" w:rsidRPr="00F4022F" w:rsidRDefault="00772B9C" w:rsidP="00F4022F">
            <w:pPr>
              <w:rPr>
                <w:rFonts w:cs="Arial"/>
                <w:szCs w:val="22"/>
                <w:highlight w:val="yellow"/>
              </w:rPr>
            </w:pPr>
          </w:p>
        </w:tc>
      </w:tr>
      <w:tr w:rsidR="00772B9C" w:rsidRPr="00674679" w14:paraId="5A02DAC1" w14:textId="77777777" w:rsidTr="000E4458">
        <w:tc>
          <w:tcPr>
            <w:tcW w:w="4423" w:type="dxa"/>
            <w:shd w:val="clear" w:color="auto" w:fill="auto"/>
          </w:tcPr>
          <w:p w14:paraId="5A02DABE" w14:textId="77777777" w:rsidR="00772B9C" w:rsidRPr="00F4022F" w:rsidRDefault="00772B9C" w:rsidP="00F4022F">
            <w:pPr>
              <w:rPr>
                <w:rFonts w:cs="Arial"/>
                <w:szCs w:val="22"/>
              </w:rPr>
            </w:pPr>
            <w:r w:rsidRPr="00F4022F">
              <w:rPr>
                <w:rFonts w:cs="Arial"/>
                <w:szCs w:val="22"/>
              </w:rPr>
              <w:t>Place</w:t>
            </w:r>
          </w:p>
          <w:p w14:paraId="5A02DABF" w14:textId="77777777" w:rsidR="00772B9C" w:rsidRPr="00F4022F" w:rsidRDefault="00772B9C" w:rsidP="00F4022F">
            <w:pPr>
              <w:rPr>
                <w:rFonts w:cs="Arial"/>
                <w:szCs w:val="22"/>
              </w:rPr>
            </w:pPr>
          </w:p>
        </w:tc>
        <w:tc>
          <w:tcPr>
            <w:tcW w:w="850" w:type="dxa"/>
            <w:shd w:val="clear" w:color="auto" w:fill="auto"/>
          </w:tcPr>
          <w:p w14:paraId="5A02DAC0" w14:textId="77777777" w:rsidR="00772B9C" w:rsidRPr="00F4022F" w:rsidRDefault="00772B9C" w:rsidP="00F4022F">
            <w:pPr>
              <w:rPr>
                <w:rFonts w:cs="Arial"/>
                <w:szCs w:val="22"/>
              </w:rPr>
            </w:pPr>
          </w:p>
        </w:tc>
      </w:tr>
    </w:tbl>
    <w:p w14:paraId="5A02DAC2" w14:textId="77777777" w:rsidR="00772B9C" w:rsidRPr="00F4022F" w:rsidRDefault="00772B9C" w:rsidP="00F4022F">
      <w:pPr>
        <w:rPr>
          <w:rFonts w:cs="Arial"/>
          <w:szCs w:val="22"/>
        </w:rPr>
      </w:pPr>
    </w:p>
    <w:p w14:paraId="5A02DAC3" w14:textId="77777777" w:rsidR="00674679" w:rsidRDefault="00674679" w:rsidP="00674679">
      <w:pPr>
        <w:ind w:firstLine="720"/>
      </w:pPr>
      <w:r>
        <w:t>Projects relating to People in the Corporate Plan:</w:t>
      </w:r>
    </w:p>
    <w:p w14:paraId="5A02DAC4" w14:textId="77777777" w:rsidR="00674679" w:rsidRDefault="00674679" w:rsidP="00674679">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674679" w14:paraId="5A02DAC8" w14:textId="77777777" w:rsidTr="00146ED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DAC5" w14:textId="77777777" w:rsidR="00674679" w:rsidRDefault="00674679" w:rsidP="00146EDD">
            <w:pPr>
              <w:rPr>
                <w:szCs w:val="22"/>
              </w:rPr>
            </w:pPr>
            <w:r>
              <w:rPr>
                <w:szCs w:val="22"/>
              </w:rPr>
              <w:t xml:space="preserve">People </w:t>
            </w:r>
          </w:p>
          <w:p w14:paraId="5A02DAC6" w14:textId="77777777" w:rsidR="00674679" w:rsidRDefault="00674679" w:rsidP="00146EDD">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DAC7" w14:textId="77777777" w:rsidR="00674679" w:rsidRDefault="00674679" w:rsidP="00146EDD">
            <w:pPr>
              <w:rPr>
                <w:szCs w:val="22"/>
              </w:rPr>
            </w:pPr>
          </w:p>
        </w:tc>
      </w:tr>
    </w:tbl>
    <w:p w14:paraId="5A02DAC9" w14:textId="77777777" w:rsidR="002F5C5E" w:rsidRPr="00F4022F" w:rsidRDefault="002F5C5E" w:rsidP="00F4022F">
      <w:pPr>
        <w:rPr>
          <w:rFonts w:cs="Arial"/>
          <w:szCs w:val="22"/>
        </w:rPr>
      </w:pPr>
    </w:p>
    <w:p w14:paraId="5A02DACA" w14:textId="77777777" w:rsidR="00674679" w:rsidRDefault="00674679" w:rsidP="00F4022F">
      <w:pPr>
        <w:rPr>
          <w:rFonts w:cs="Arial"/>
          <w:b/>
          <w:szCs w:val="22"/>
        </w:rPr>
      </w:pPr>
    </w:p>
    <w:p w14:paraId="5A02DACB" w14:textId="77777777" w:rsidR="000B621E" w:rsidRDefault="002F00B4" w:rsidP="00A87399">
      <w:pPr>
        <w:rPr>
          <w:rFonts w:cs="Arial"/>
          <w:b/>
        </w:rPr>
      </w:pPr>
      <w:r>
        <w:rPr>
          <w:rFonts w:cs="Arial"/>
          <w:b/>
        </w:rPr>
        <w:t>3.</w:t>
      </w:r>
      <w:r w:rsidRPr="00A87399">
        <w:rPr>
          <w:rFonts w:cs="Arial"/>
          <w:b/>
        </w:rPr>
        <w:t xml:space="preserve"> RECOMMENDATIONS</w:t>
      </w:r>
    </w:p>
    <w:p w14:paraId="5A02DACC" w14:textId="77777777" w:rsidR="00A55DAC" w:rsidRPr="00A87399" w:rsidRDefault="00A55DAC" w:rsidP="00A87399">
      <w:pPr>
        <w:rPr>
          <w:rFonts w:cs="Arial"/>
          <w:b/>
        </w:rPr>
      </w:pPr>
    </w:p>
    <w:p w14:paraId="5A02DACD" w14:textId="77777777" w:rsidR="007D610E" w:rsidRPr="007D610E" w:rsidRDefault="00922761" w:rsidP="001343F3">
      <w:pPr>
        <w:pStyle w:val="ListBullet"/>
        <w:numPr>
          <w:ilvl w:val="0"/>
          <w:numId w:val="0"/>
        </w:numPr>
      </w:pPr>
      <w:r>
        <w:t>To  approv</w:t>
      </w:r>
      <w:r w:rsidR="00742044">
        <w:t>e</w:t>
      </w:r>
      <w:r>
        <w:t xml:space="preserve"> </w:t>
      </w:r>
      <w:r w:rsidR="00742044">
        <w:t xml:space="preserve">the </w:t>
      </w:r>
      <w:r>
        <w:t xml:space="preserve"> update</w:t>
      </w:r>
      <w:r w:rsidR="00742044">
        <w:t>d</w:t>
      </w:r>
      <w:r>
        <w:t xml:space="preserve">  Guidance in relation to </w:t>
      </w:r>
      <w:r w:rsidR="0060340A">
        <w:t>the Hearings</w:t>
      </w:r>
      <w:r>
        <w:t xml:space="preserve"> Process</w:t>
      </w:r>
      <w:r w:rsidR="00742044">
        <w:t>, in respect of Licensing Panel Hearings under the Licensing Act 2003.</w:t>
      </w:r>
    </w:p>
    <w:p w14:paraId="5A02DACE" w14:textId="77777777" w:rsidR="006D748F" w:rsidRPr="00F4022F" w:rsidRDefault="006D748F" w:rsidP="00F4022F">
      <w:pPr>
        <w:rPr>
          <w:rFonts w:cs="Arial"/>
          <w:b/>
          <w:szCs w:val="22"/>
        </w:rPr>
      </w:pPr>
    </w:p>
    <w:p w14:paraId="5A02DACF" w14:textId="77777777" w:rsidR="002F5C5E" w:rsidRDefault="00262CC8" w:rsidP="00F4022F">
      <w:pPr>
        <w:rPr>
          <w:rFonts w:cs="Arial"/>
          <w:b/>
          <w:szCs w:val="22"/>
        </w:rPr>
      </w:pPr>
      <w:r w:rsidRPr="00F4022F">
        <w:rPr>
          <w:rFonts w:cs="Arial"/>
          <w:b/>
          <w:szCs w:val="22"/>
        </w:rPr>
        <w:t>4</w:t>
      </w:r>
      <w:r w:rsidR="002F5C5E" w:rsidRPr="00F4022F">
        <w:rPr>
          <w:rFonts w:cs="Arial"/>
          <w:b/>
          <w:szCs w:val="22"/>
        </w:rPr>
        <w:t>.   BACKGROUND TO THE REPORT</w:t>
      </w:r>
    </w:p>
    <w:p w14:paraId="5A02DAD0" w14:textId="77777777" w:rsidR="00922761" w:rsidRDefault="00922761" w:rsidP="00F4022F">
      <w:pPr>
        <w:rPr>
          <w:rFonts w:cs="Arial"/>
          <w:b/>
          <w:szCs w:val="22"/>
        </w:rPr>
      </w:pPr>
    </w:p>
    <w:p w14:paraId="5A02DAD1" w14:textId="77777777" w:rsidR="00922761" w:rsidRPr="00922761" w:rsidRDefault="002C0ECB" w:rsidP="00F4022F">
      <w:pPr>
        <w:rPr>
          <w:rFonts w:cs="Arial"/>
          <w:szCs w:val="22"/>
        </w:rPr>
      </w:pPr>
      <w:r>
        <w:rPr>
          <w:rFonts w:cs="Arial"/>
          <w:szCs w:val="22"/>
        </w:rPr>
        <w:t>A</w:t>
      </w:r>
      <w:r w:rsidR="00922761" w:rsidRPr="00922761">
        <w:rPr>
          <w:rFonts w:cs="Arial"/>
          <w:szCs w:val="22"/>
        </w:rPr>
        <w:t>pplications submitted under the LA 2003 process have necessitated in sending guidance and instructions to members of the public and Responsible Authorities</w:t>
      </w:r>
      <w:r>
        <w:rPr>
          <w:rFonts w:cs="Arial"/>
          <w:szCs w:val="22"/>
        </w:rPr>
        <w:t xml:space="preserve">, as this is a requirement under the legislation.  However, </w:t>
      </w:r>
      <w:r w:rsidR="00922761">
        <w:rPr>
          <w:rFonts w:cs="Arial"/>
          <w:szCs w:val="22"/>
        </w:rPr>
        <w:t>some of the guidance requires improvement and updating</w:t>
      </w:r>
      <w:r>
        <w:rPr>
          <w:rFonts w:cs="Arial"/>
          <w:szCs w:val="22"/>
        </w:rPr>
        <w:t>.  This has been undertaken and a new guidance document has been produced w</w:t>
      </w:r>
      <w:r w:rsidR="00161BC0">
        <w:rPr>
          <w:rFonts w:cs="Arial"/>
          <w:szCs w:val="22"/>
        </w:rPr>
        <w:t xml:space="preserve">hich can be found at Appendix </w:t>
      </w:r>
      <w:r w:rsidR="001343F3">
        <w:rPr>
          <w:rFonts w:cs="Arial"/>
          <w:szCs w:val="22"/>
        </w:rPr>
        <w:t>B</w:t>
      </w:r>
      <w:r w:rsidR="00161BC0">
        <w:rPr>
          <w:rFonts w:cs="Arial"/>
          <w:szCs w:val="22"/>
        </w:rPr>
        <w:t xml:space="preserve"> of the report.</w:t>
      </w:r>
    </w:p>
    <w:p w14:paraId="5A02DAD2" w14:textId="77777777" w:rsidR="00CC3000" w:rsidRPr="00922761" w:rsidRDefault="00CC3000" w:rsidP="00F4022F">
      <w:pPr>
        <w:rPr>
          <w:rFonts w:cs="Arial"/>
          <w:szCs w:val="22"/>
        </w:rPr>
      </w:pPr>
    </w:p>
    <w:p w14:paraId="5A02DAD3" w14:textId="77777777" w:rsidR="009A5E0E" w:rsidRDefault="002F00B4" w:rsidP="00A55DAC">
      <w:pPr>
        <w:pStyle w:val="BodyTextIndent"/>
        <w:ind w:left="705" w:hanging="705"/>
        <w:rPr>
          <w:sz w:val="22"/>
        </w:rPr>
      </w:pPr>
      <w:r>
        <w:rPr>
          <w:sz w:val="22"/>
        </w:rPr>
        <w:t>4</w:t>
      </w:r>
      <w:r w:rsidR="00A55DAC">
        <w:rPr>
          <w:sz w:val="22"/>
        </w:rPr>
        <w:t>.1</w:t>
      </w:r>
      <w:r w:rsidR="00A55DAC">
        <w:rPr>
          <w:sz w:val="22"/>
        </w:rPr>
        <w:tab/>
      </w:r>
      <w:r w:rsidR="00922761">
        <w:rPr>
          <w:sz w:val="22"/>
        </w:rPr>
        <w:t xml:space="preserve">One of the </w:t>
      </w:r>
      <w:r w:rsidR="009A5E0E">
        <w:rPr>
          <w:sz w:val="22"/>
        </w:rPr>
        <w:t>substantial</w:t>
      </w:r>
      <w:r w:rsidR="00922761">
        <w:rPr>
          <w:sz w:val="22"/>
        </w:rPr>
        <w:t xml:space="preserve"> changes is a Regulation 8 notice to be returned to the </w:t>
      </w:r>
      <w:r w:rsidR="009A5E0E">
        <w:rPr>
          <w:sz w:val="22"/>
        </w:rPr>
        <w:t>Authority</w:t>
      </w:r>
      <w:r w:rsidR="00922761">
        <w:rPr>
          <w:sz w:val="22"/>
        </w:rPr>
        <w:t xml:space="preserve"> in </w:t>
      </w:r>
      <w:r w:rsidR="009A5E0E">
        <w:rPr>
          <w:sz w:val="22"/>
        </w:rPr>
        <w:t>advance</w:t>
      </w:r>
      <w:r w:rsidR="00922761">
        <w:rPr>
          <w:sz w:val="22"/>
        </w:rPr>
        <w:t xml:space="preserve"> of the hearing</w:t>
      </w:r>
      <w:r w:rsidR="002C0ECB">
        <w:rPr>
          <w:sz w:val="22"/>
        </w:rPr>
        <w:t>.  This is</w:t>
      </w:r>
      <w:r w:rsidR="009A5E0E">
        <w:rPr>
          <w:sz w:val="22"/>
        </w:rPr>
        <w:t xml:space="preserve">, a standard requirement set out in </w:t>
      </w:r>
      <w:r w:rsidR="009A5E0E" w:rsidRPr="009A5E0E">
        <w:rPr>
          <w:rFonts w:cs="Arial"/>
          <w:bCs/>
          <w:sz w:val="22"/>
          <w:szCs w:val="22"/>
          <w:lang w:val="en"/>
        </w:rPr>
        <w:t>The Licensing Act</w:t>
      </w:r>
      <w:r w:rsidR="009A5E0E" w:rsidRPr="009A5E0E">
        <w:rPr>
          <w:rFonts w:cs="Arial"/>
          <w:bCs/>
          <w:sz w:val="35"/>
          <w:szCs w:val="35"/>
          <w:lang w:val="en"/>
        </w:rPr>
        <w:t xml:space="preserve"> </w:t>
      </w:r>
      <w:r w:rsidR="009A5E0E" w:rsidRPr="009A5E0E">
        <w:rPr>
          <w:rFonts w:cs="Arial"/>
          <w:bCs/>
          <w:sz w:val="22"/>
          <w:szCs w:val="22"/>
          <w:lang w:val="en"/>
        </w:rPr>
        <w:t>2003</w:t>
      </w:r>
      <w:r w:rsidR="009A5E0E" w:rsidRPr="009A5E0E">
        <w:rPr>
          <w:rFonts w:cs="Arial"/>
          <w:b/>
          <w:bCs/>
          <w:sz w:val="22"/>
          <w:szCs w:val="22"/>
          <w:lang w:val="en"/>
        </w:rPr>
        <w:t xml:space="preserve"> </w:t>
      </w:r>
      <w:r w:rsidR="009A5E0E" w:rsidRPr="009A5E0E">
        <w:rPr>
          <w:rFonts w:cs="Arial"/>
          <w:bCs/>
          <w:sz w:val="22"/>
          <w:szCs w:val="22"/>
          <w:lang w:val="en"/>
        </w:rPr>
        <w:t>(Hearings) Regulations 2005</w:t>
      </w:r>
      <w:r w:rsidR="009A5E0E">
        <w:rPr>
          <w:sz w:val="22"/>
        </w:rPr>
        <w:t xml:space="preserve"> which state</w:t>
      </w:r>
      <w:r w:rsidR="002C0ECB">
        <w:rPr>
          <w:sz w:val="22"/>
        </w:rPr>
        <w:t>s</w:t>
      </w:r>
      <w:r w:rsidR="009A5E0E">
        <w:rPr>
          <w:sz w:val="22"/>
        </w:rPr>
        <w:t xml:space="preserve">; </w:t>
      </w:r>
    </w:p>
    <w:p w14:paraId="5A02DAD4" w14:textId="77777777" w:rsidR="009A5E0E" w:rsidRPr="009A5E0E" w:rsidRDefault="009A5E0E" w:rsidP="009A5E0E">
      <w:pPr>
        <w:pStyle w:val="legp1paratext1"/>
        <w:rPr>
          <w:rFonts w:ascii="Arial" w:hAnsi="Arial" w:cs="Arial"/>
          <w:i/>
          <w:sz w:val="22"/>
          <w:szCs w:val="22"/>
          <w:lang w:val="en"/>
        </w:rPr>
      </w:pPr>
      <w:r w:rsidRPr="009A5E0E">
        <w:rPr>
          <w:rStyle w:val="legp1no3"/>
          <w:rFonts w:ascii="Arial" w:hAnsi="Arial" w:cs="Arial"/>
          <w:i/>
          <w:sz w:val="22"/>
          <w:szCs w:val="22"/>
          <w:lang w:val="en"/>
        </w:rPr>
        <w:lastRenderedPageBreak/>
        <w:t>8.</w:t>
      </w:r>
      <w:r w:rsidRPr="009A5E0E">
        <w:rPr>
          <w:rFonts w:ascii="Arial" w:hAnsi="Arial" w:cs="Arial"/>
          <w:i/>
          <w:sz w:val="22"/>
          <w:szCs w:val="22"/>
          <w:lang w:val="en"/>
        </w:rPr>
        <w:t>—(1) </w:t>
      </w:r>
      <w:r w:rsidR="0060340A" w:rsidRPr="009A5E0E">
        <w:rPr>
          <w:rFonts w:ascii="Arial" w:hAnsi="Arial" w:cs="Arial"/>
          <w:i/>
          <w:sz w:val="22"/>
          <w:szCs w:val="22"/>
          <w:lang w:val="en"/>
        </w:rPr>
        <w:t>a</w:t>
      </w:r>
      <w:r w:rsidRPr="009A5E0E">
        <w:rPr>
          <w:rFonts w:ascii="Arial" w:hAnsi="Arial" w:cs="Arial"/>
          <w:i/>
          <w:sz w:val="22"/>
          <w:szCs w:val="22"/>
          <w:lang w:val="en"/>
        </w:rPr>
        <w:t xml:space="preserve"> party shall give to the authority within the period of time provided for in the following provisions of this regulation a notice stating— </w:t>
      </w:r>
    </w:p>
    <w:p w14:paraId="5A02DAD5"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(a</w:t>
      </w:r>
      <w:r w:rsidR="0060340A" w:rsidRPr="009A5E0E">
        <w:rPr>
          <w:rStyle w:val="legds2"/>
          <w:rFonts w:ascii="Arial" w:hAnsi="Arial" w:cs="Arial"/>
          <w:i/>
          <w:sz w:val="22"/>
          <w:szCs w:val="22"/>
          <w:lang w:val="en"/>
          <w:specVanish w:val="0"/>
        </w:rPr>
        <w:t>) Whether</w:t>
      </w:r>
      <w:r w:rsidRPr="009A5E0E">
        <w:rPr>
          <w:rStyle w:val="legds2"/>
          <w:rFonts w:ascii="Arial" w:hAnsi="Arial" w:cs="Arial"/>
          <w:i/>
          <w:sz w:val="22"/>
          <w:szCs w:val="22"/>
          <w:lang w:val="en"/>
          <w:specVanish w:val="0"/>
        </w:rPr>
        <w:t xml:space="preserve"> he intends to attend or be represented at the hearing;</w:t>
      </w:r>
    </w:p>
    <w:p w14:paraId="5A02DAD6"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(b</w:t>
      </w:r>
      <w:r w:rsidR="0060340A" w:rsidRPr="009A5E0E">
        <w:rPr>
          <w:rStyle w:val="legds2"/>
          <w:rFonts w:ascii="Arial" w:hAnsi="Arial" w:cs="Arial"/>
          <w:i/>
          <w:sz w:val="22"/>
          <w:szCs w:val="22"/>
          <w:lang w:val="en"/>
          <w:specVanish w:val="0"/>
        </w:rPr>
        <w:t>) Whether</w:t>
      </w:r>
      <w:r w:rsidRPr="009A5E0E">
        <w:rPr>
          <w:rStyle w:val="legds2"/>
          <w:rFonts w:ascii="Arial" w:hAnsi="Arial" w:cs="Arial"/>
          <w:i/>
          <w:sz w:val="22"/>
          <w:szCs w:val="22"/>
          <w:lang w:val="en"/>
          <w:specVanish w:val="0"/>
        </w:rPr>
        <w:t xml:space="preserve"> he considers a hearing to be unnecessary.</w:t>
      </w:r>
    </w:p>
    <w:p w14:paraId="5A02DAD7" w14:textId="77777777" w:rsidR="009A5E0E" w:rsidRPr="009A5E0E" w:rsidRDefault="009A5E0E" w:rsidP="009A5E0E">
      <w:pPr>
        <w:pStyle w:val="legp2paratext1"/>
        <w:rPr>
          <w:rFonts w:ascii="Arial" w:hAnsi="Arial" w:cs="Arial"/>
          <w:i/>
          <w:sz w:val="22"/>
          <w:szCs w:val="22"/>
          <w:lang w:val="en"/>
        </w:rPr>
      </w:pPr>
      <w:r w:rsidRPr="009A5E0E">
        <w:rPr>
          <w:rFonts w:ascii="Arial" w:hAnsi="Arial" w:cs="Arial"/>
          <w:i/>
          <w:sz w:val="22"/>
          <w:szCs w:val="22"/>
          <w:lang w:val="en"/>
        </w:rPr>
        <w:t xml:space="preserve">(2) In a case where a party wishes any other person (other than the person he intends to represent him at the hearing) to appear at the hearing, the notice referred to in paragraph (1) shall contain a request for permission for such other person to appear at the hearing accompanied by details of the name of that person and a brief description of the point or points on which that person may be able to assist the authority in relation to the application, representations or notice of the party making the request. </w:t>
      </w:r>
    </w:p>
    <w:p w14:paraId="5A02DAD8" w14:textId="77777777" w:rsidR="009A5E0E" w:rsidRPr="009A5E0E" w:rsidRDefault="009A5E0E" w:rsidP="009A5E0E">
      <w:pPr>
        <w:pStyle w:val="legp2paratext1"/>
        <w:rPr>
          <w:rFonts w:ascii="Arial" w:hAnsi="Arial" w:cs="Arial"/>
          <w:i/>
          <w:sz w:val="22"/>
          <w:szCs w:val="22"/>
          <w:lang w:val="en"/>
        </w:rPr>
      </w:pPr>
      <w:r w:rsidRPr="009A5E0E">
        <w:rPr>
          <w:rFonts w:ascii="Arial" w:hAnsi="Arial" w:cs="Arial"/>
          <w:i/>
          <w:sz w:val="22"/>
          <w:szCs w:val="22"/>
          <w:lang w:val="en"/>
        </w:rPr>
        <w:t xml:space="preserve">(3) In the case of a hearing under— </w:t>
      </w:r>
    </w:p>
    <w:p w14:paraId="5A02DAD9"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(a</w:t>
      </w:r>
      <w:r w:rsidR="0060340A" w:rsidRPr="009A5E0E">
        <w:rPr>
          <w:rStyle w:val="legds2"/>
          <w:rFonts w:ascii="Arial" w:hAnsi="Arial" w:cs="Arial"/>
          <w:i/>
          <w:sz w:val="22"/>
          <w:szCs w:val="22"/>
          <w:lang w:val="en"/>
          <w:specVanish w:val="0"/>
        </w:rPr>
        <w:t>) Section</w:t>
      </w:r>
      <w:r w:rsidRPr="009A5E0E">
        <w:rPr>
          <w:rStyle w:val="legds2"/>
          <w:rFonts w:ascii="Arial" w:hAnsi="Arial" w:cs="Arial"/>
          <w:i/>
          <w:sz w:val="22"/>
          <w:szCs w:val="22"/>
          <w:lang w:val="en"/>
          <w:specVanish w:val="0"/>
        </w:rPr>
        <w:t xml:space="preserve"> 48(3)(a) (cancellation of interim authority notice following police objection), or</w:t>
      </w:r>
    </w:p>
    <w:p w14:paraId="5A02DADA"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(b</w:t>
      </w:r>
      <w:r w:rsidR="0060340A" w:rsidRPr="009A5E0E">
        <w:rPr>
          <w:rStyle w:val="legds2"/>
          <w:rFonts w:ascii="Arial" w:hAnsi="Arial" w:cs="Arial"/>
          <w:i/>
          <w:sz w:val="22"/>
          <w:szCs w:val="22"/>
          <w:lang w:val="en"/>
          <w:specVanish w:val="0"/>
        </w:rPr>
        <w:t>) Section</w:t>
      </w:r>
      <w:r w:rsidRPr="009A5E0E">
        <w:rPr>
          <w:rStyle w:val="legds2"/>
          <w:rFonts w:ascii="Arial" w:hAnsi="Arial" w:cs="Arial"/>
          <w:i/>
          <w:sz w:val="22"/>
          <w:szCs w:val="22"/>
          <w:lang w:val="en"/>
          <w:specVanish w:val="0"/>
        </w:rPr>
        <w:t xml:space="preserve"> 105(2)(a) (counter notice following police objection to temporary event notice),</w:t>
      </w:r>
    </w:p>
    <w:p w14:paraId="5A02DADB" w14:textId="77777777" w:rsidR="009A5E0E" w:rsidRPr="009A5E0E" w:rsidRDefault="009A5E0E" w:rsidP="009A5E0E">
      <w:pPr>
        <w:pStyle w:val="legp2text1"/>
        <w:rPr>
          <w:rFonts w:ascii="Arial" w:hAnsi="Arial" w:cs="Arial"/>
          <w:i/>
          <w:sz w:val="22"/>
          <w:szCs w:val="22"/>
          <w:lang w:val="en"/>
        </w:rPr>
      </w:pPr>
      <w:r w:rsidRPr="009A5E0E">
        <w:rPr>
          <w:rFonts w:ascii="Arial" w:hAnsi="Arial" w:cs="Arial"/>
          <w:i/>
          <w:sz w:val="22"/>
          <w:szCs w:val="22"/>
          <w:lang w:val="en"/>
        </w:rPr>
        <w:t xml:space="preserve">the party shall give the notice no later than one working day before the day or the first day on which the hearing is to be held. </w:t>
      </w:r>
    </w:p>
    <w:p w14:paraId="5A02DADC" w14:textId="77777777" w:rsidR="009A5E0E" w:rsidRPr="009A5E0E" w:rsidRDefault="009A5E0E" w:rsidP="009A5E0E">
      <w:pPr>
        <w:pStyle w:val="legp2paratext1"/>
        <w:rPr>
          <w:rFonts w:ascii="Arial" w:hAnsi="Arial" w:cs="Arial"/>
          <w:i/>
          <w:sz w:val="22"/>
          <w:szCs w:val="22"/>
          <w:lang w:val="en"/>
        </w:rPr>
      </w:pPr>
      <w:r w:rsidRPr="009A5E0E">
        <w:rPr>
          <w:rFonts w:ascii="Arial" w:hAnsi="Arial" w:cs="Arial"/>
          <w:i/>
          <w:sz w:val="22"/>
          <w:szCs w:val="22"/>
          <w:lang w:val="en"/>
        </w:rPr>
        <w:t xml:space="preserve">(4) In the case of a hearing under— </w:t>
      </w:r>
    </w:p>
    <w:p w14:paraId="5A02DADD"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(a</w:t>
      </w:r>
      <w:r w:rsidR="0060340A" w:rsidRPr="009A5E0E">
        <w:rPr>
          <w:rStyle w:val="legds2"/>
          <w:rFonts w:ascii="Arial" w:hAnsi="Arial" w:cs="Arial"/>
          <w:i/>
          <w:sz w:val="22"/>
          <w:szCs w:val="22"/>
          <w:lang w:val="en"/>
          <w:specVanish w:val="0"/>
        </w:rPr>
        <w:t>) Section</w:t>
      </w:r>
      <w:r w:rsidRPr="009A5E0E">
        <w:rPr>
          <w:rStyle w:val="legds2"/>
          <w:rFonts w:ascii="Arial" w:hAnsi="Arial" w:cs="Arial"/>
          <w:i/>
          <w:sz w:val="22"/>
          <w:szCs w:val="22"/>
          <w:lang w:val="en"/>
          <w:specVanish w:val="0"/>
        </w:rPr>
        <w:t xml:space="preserve"> 167(5)(a) (review of premises licence following closure order),</w:t>
      </w:r>
    </w:p>
    <w:p w14:paraId="5A02DADE"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(b</w:t>
      </w:r>
      <w:r w:rsidR="0060340A" w:rsidRPr="009A5E0E">
        <w:rPr>
          <w:rStyle w:val="legds2"/>
          <w:rFonts w:ascii="Arial" w:hAnsi="Arial" w:cs="Arial"/>
          <w:i/>
          <w:sz w:val="22"/>
          <w:szCs w:val="22"/>
          <w:lang w:val="en"/>
          <w:specVanish w:val="0"/>
        </w:rPr>
        <w:t>) Paragraph</w:t>
      </w:r>
      <w:r w:rsidRPr="009A5E0E">
        <w:rPr>
          <w:rStyle w:val="legds2"/>
          <w:rFonts w:ascii="Arial" w:hAnsi="Arial" w:cs="Arial"/>
          <w:i/>
          <w:sz w:val="22"/>
          <w:szCs w:val="22"/>
          <w:lang w:val="en"/>
          <w:specVanish w:val="0"/>
        </w:rPr>
        <w:t xml:space="preserve"> 4(3)(a) of Schedule 8 (determination of application for conversion of existing licence),</w:t>
      </w:r>
    </w:p>
    <w:p w14:paraId="5A02DADF"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(c</w:t>
      </w:r>
      <w:r w:rsidR="0060340A" w:rsidRPr="009A5E0E">
        <w:rPr>
          <w:rStyle w:val="legds2"/>
          <w:rFonts w:ascii="Arial" w:hAnsi="Arial" w:cs="Arial"/>
          <w:i/>
          <w:sz w:val="22"/>
          <w:szCs w:val="22"/>
          <w:lang w:val="en"/>
          <w:specVanish w:val="0"/>
        </w:rPr>
        <w:t xml:space="preserve">) </w:t>
      </w:r>
      <w:r w:rsidR="00695DF4" w:rsidRPr="009A5E0E">
        <w:rPr>
          <w:rStyle w:val="legds2"/>
          <w:rFonts w:ascii="Arial" w:hAnsi="Arial" w:cs="Arial"/>
          <w:i/>
          <w:sz w:val="22"/>
          <w:szCs w:val="22"/>
          <w:lang w:val="en"/>
          <w:specVanish w:val="0"/>
        </w:rPr>
        <w:t>Paragraph</w:t>
      </w:r>
      <w:r w:rsidRPr="009A5E0E">
        <w:rPr>
          <w:rStyle w:val="legds2"/>
          <w:rFonts w:ascii="Arial" w:hAnsi="Arial" w:cs="Arial"/>
          <w:i/>
          <w:sz w:val="22"/>
          <w:szCs w:val="22"/>
          <w:lang w:val="en"/>
          <w:specVanish w:val="0"/>
        </w:rPr>
        <w:t xml:space="preserve"> 16(3)(a) of Schedule 8 (determination of application for conversion of existing club certificate), or</w:t>
      </w:r>
    </w:p>
    <w:p w14:paraId="5A02DAE0" w14:textId="77777777" w:rsidR="009A5E0E" w:rsidRPr="009A5E0E" w:rsidRDefault="009A5E0E" w:rsidP="009A5E0E">
      <w:pPr>
        <w:pStyle w:val="legclearfix2"/>
        <w:rPr>
          <w:rFonts w:ascii="Arial" w:hAnsi="Arial" w:cs="Arial"/>
          <w:i/>
          <w:sz w:val="22"/>
          <w:szCs w:val="22"/>
          <w:lang w:val="en"/>
        </w:rPr>
      </w:pPr>
      <w:r w:rsidRPr="009A5E0E">
        <w:rPr>
          <w:rStyle w:val="legds2"/>
          <w:rFonts w:ascii="Arial" w:hAnsi="Arial" w:cs="Arial"/>
          <w:i/>
          <w:sz w:val="22"/>
          <w:szCs w:val="22"/>
          <w:lang w:val="en"/>
          <w:specVanish w:val="0"/>
        </w:rPr>
        <w:t>(d</w:t>
      </w:r>
      <w:r w:rsidR="0060340A" w:rsidRPr="009A5E0E">
        <w:rPr>
          <w:rStyle w:val="legds2"/>
          <w:rFonts w:ascii="Arial" w:hAnsi="Arial" w:cs="Arial"/>
          <w:i/>
          <w:sz w:val="22"/>
          <w:szCs w:val="22"/>
          <w:lang w:val="en"/>
          <w:specVanish w:val="0"/>
        </w:rPr>
        <w:t xml:space="preserve">) </w:t>
      </w:r>
      <w:r w:rsidR="00695DF4" w:rsidRPr="009A5E0E">
        <w:rPr>
          <w:rStyle w:val="legds2"/>
          <w:rFonts w:ascii="Arial" w:hAnsi="Arial" w:cs="Arial"/>
          <w:i/>
          <w:sz w:val="22"/>
          <w:szCs w:val="22"/>
          <w:lang w:val="en"/>
          <w:specVanish w:val="0"/>
        </w:rPr>
        <w:t>Paragraph</w:t>
      </w:r>
      <w:r w:rsidRPr="009A5E0E">
        <w:rPr>
          <w:rStyle w:val="legds2"/>
          <w:rFonts w:ascii="Arial" w:hAnsi="Arial" w:cs="Arial"/>
          <w:i/>
          <w:sz w:val="22"/>
          <w:szCs w:val="22"/>
          <w:lang w:val="en"/>
          <w:specVanish w:val="0"/>
        </w:rPr>
        <w:t xml:space="preserve"> 26(3)(a) of Schedule 8 (determination of application by holder of justices' licence for grant of personal licence),</w:t>
      </w:r>
    </w:p>
    <w:p w14:paraId="5A02DAE1" w14:textId="77777777" w:rsidR="009A5E0E" w:rsidRPr="009A5E0E" w:rsidRDefault="009A5E0E" w:rsidP="009A5E0E">
      <w:pPr>
        <w:pStyle w:val="legp2text1"/>
        <w:rPr>
          <w:rFonts w:ascii="Arial" w:hAnsi="Arial" w:cs="Arial"/>
          <w:i/>
          <w:sz w:val="22"/>
          <w:szCs w:val="22"/>
          <w:lang w:val="en"/>
        </w:rPr>
      </w:pPr>
      <w:r w:rsidRPr="009A5E0E">
        <w:rPr>
          <w:rFonts w:ascii="Arial" w:hAnsi="Arial" w:cs="Arial"/>
          <w:i/>
          <w:sz w:val="22"/>
          <w:szCs w:val="22"/>
          <w:lang w:val="en"/>
        </w:rPr>
        <w:t xml:space="preserve">the party shall give the notice no later than two working days before the day or the first day on which the hearing is to be held. </w:t>
      </w:r>
    </w:p>
    <w:p w14:paraId="5A02DAE2" w14:textId="77777777" w:rsidR="009A5E0E" w:rsidRDefault="009A5E0E" w:rsidP="009A5E0E">
      <w:pPr>
        <w:pStyle w:val="legp2paratext1"/>
        <w:rPr>
          <w:rFonts w:ascii="Arial" w:hAnsi="Arial" w:cs="Arial"/>
          <w:i/>
          <w:sz w:val="22"/>
          <w:szCs w:val="22"/>
          <w:lang w:val="en"/>
        </w:rPr>
      </w:pPr>
      <w:r w:rsidRPr="009A5E0E">
        <w:rPr>
          <w:rFonts w:ascii="Arial" w:hAnsi="Arial" w:cs="Arial"/>
          <w:i/>
          <w:sz w:val="22"/>
          <w:szCs w:val="22"/>
          <w:lang w:val="en"/>
        </w:rPr>
        <w:t xml:space="preserve">(5) In any other case, the party shall give the notice no later than five working days before the day or the first day on which the hearing is to be held. </w:t>
      </w:r>
    </w:p>
    <w:p w14:paraId="5A02DAE3" w14:textId="77777777" w:rsidR="00161BC0" w:rsidRPr="0060340A" w:rsidRDefault="00161BC0" w:rsidP="0060340A">
      <w:pPr>
        <w:pStyle w:val="legp2paratext1"/>
        <w:ind w:firstLine="0"/>
        <w:rPr>
          <w:rFonts w:ascii="Arial" w:hAnsi="Arial" w:cs="Arial"/>
          <w:sz w:val="22"/>
          <w:szCs w:val="22"/>
          <w:lang w:val="en"/>
        </w:rPr>
      </w:pPr>
      <w:r>
        <w:rPr>
          <w:rFonts w:ascii="Arial" w:hAnsi="Arial" w:cs="Arial"/>
          <w:sz w:val="22"/>
          <w:szCs w:val="22"/>
          <w:lang w:val="en"/>
        </w:rPr>
        <w:t>4.2 Members will note that the guidance is easy to follow and provides Responsible Authorities and members of the public a step by step approach to the hearing process including the requirement to give formal notice to the Council as required by the legislation.</w:t>
      </w:r>
    </w:p>
    <w:p w14:paraId="5A02DAE4" w14:textId="77777777" w:rsidR="002A671F" w:rsidRPr="002A671F" w:rsidRDefault="002A671F" w:rsidP="002A671F">
      <w:pPr>
        <w:rPr>
          <w:rFonts w:cs="Arial"/>
          <w:b/>
          <w:color w:val="000000"/>
          <w:szCs w:val="22"/>
        </w:rPr>
      </w:pPr>
    </w:p>
    <w:p w14:paraId="5A02DAE5" w14:textId="77777777" w:rsidR="00F43895" w:rsidRPr="00F4022F" w:rsidRDefault="002F00B4" w:rsidP="00F4022F">
      <w:pPr>
        <w:rPr>
          <w:rFonts w:cs="Arial"/>
          <w:b/>
          <w:szCs w:val="22"/>
        </w:rPr>
      </w:pPr>
      <w:r>
        <w:rPr>
          <w:rFonts w:cs="Arial"/>
          <w:b/>
          <w:szCs w:val="22"/>
        </w:rPr>
        <w:t>5</w:t>
      </w:r>
      <w:r w:rsidR="002A671F">
        <w:rPr>
          <w:rFonts w:cs="Arial"/>
          <w:b/>
          <w:szCs w:val="22"/>
        </w:rPr>
        <w:t>.</w:t>
      </w:r>
      <w:r w:rsidR="00F43895" w:rsidRPr="00F4022F">
        <w:rPr>
          <w:rFonts w:cs="Arial"/>
          <w:b/>
          <w:szCs w:val="22"/>
        </w:rPr>
        <w:t xml:space="preserve">    </w:t>
      </w:r>
      <w:r w:rsidR="00F43895" w:rsidRPr="00F4022F">
        <w:rPr>
          <w:rFonts w:cs="Arial"/>
          <w:b/>
          <w:caps/>
          <w:szCs w:val="22"/>
        </w:rPr>
        <w:t>Financial implications</w:t>
      </w:r>
    </w:p>
    <w:p w14:paraId="5A02DAE6" w14:textId="77777777" w:rsidR="00F43895" w:rsidRPr="00F4022F" w:rsidRDefault="00F43895" w:rsidP="00F4022F">
      <w:pPr>
        <w:ind w:left="567"/>
        <w:rPr>
          <w:rFonts w:cs="Arial"/>
          <w:b/>
          <w:caps/>
          <w:szCs w:val="22"/>
        </w:rPr>
      </w:pPr>
    </w:p>
    <w:p w14:paraId="5A02DAE7" w14:textId="77777777" w:rsidR="00F43895" w:rsidRDefault="002F00B4" w:rsidP="00F4022F">
      <w:pPr>
        <w:rPr>
          <w:rFonts w:cs="Arial"/>
          <w:b/>
          <w:szCs w:val="22"/>
        </w:rPr>
      </w:pPr>
      <w:r>
        <w:rPr>
          <w:rFonts w:cs="Arial"/>
        </w:rPr>
        <w:t>5</w:t>
      </w:r>
      <w:r w:rsidR="002A671F">
        <w:rPr>
          <w:rFonts w:cs="Arial"/>
        </w:rPr>
        <w:t>.</w:t>
      </w:r>
      <w:r w:rsidR="002E3A51" w:rsidRPr="00604A18">
        <w:rPr>
          <w:rFonts w:cs="Arial"/>
        </w:rPr>
        <w:t>1</w:t>
      </w:r>
      <w:r w:rsidR="00837748" w:rsidRPr="00604A18">
        <w:rPr>
          <w:rFonts w:cs="Arial"/>
        </w:rPr>
        <w:t xml:space="preserve"> T</w:t>
      </w:r>
      <w:r w:rsidR="00837748" w:rsidRPr="00837748">
        <w:rPr>
          <w:rFonts w:cs="Arial"/>
          <w:szCs w:val="22"/>
        </w:rPr>
        <w:t xml:space="preserve">here </w:t>
      </w:r>
      <w:r w:rsidR="00837748" w:rsidRPr="002E3A51">
        <w:rPr>
          <w:rFonts w:cs="Arial"/>
          <w:szCs w:val="22"/>
        </w:rPr>
        <w:t xml:space="preserve">are no direct </w:t>
      </w:r>
      <w:r w:rsidR="00837748">
        <w:rPr>
          <w:rFonts w:cs="Arial"/>
          <w:szCs w:val="22"/>
        </w:rPr>
        <w:t>financial imp</w:t>
      </w:r>
      <w:r w:rsidR="00837748" w:rsidRPr="002E3A51">
        <w:rPr>
          <w:rFonts w:cs="Arial"/>
          <w:szCs w:val="22"/>
        </w:rPr>
        <w:t>lications arising from this report</w:t>
      </w:r>
      <w:r w:rsidR="00837748">
        <w:rPr>
          <w:rFonts w:cs="Arial"/>
          <w:szCs w:val="22"/>
        </w:rPr>
        <w:t>.</w:t>
      </w:r>
      <w:r w:rsidR="00837748" w:rsidRPr="002E3A51">
        <w:rPr>
          <w:rFonts w:cs="Arial"/>
          <w:color w:val="FF0000"/>
        </w:rPr>
        <w:t xml:space="preserve"> </w:t>
      </w:r>
      <w:r w:rsidR="00837748">
        <w:rPr>
          <w:rFonts w:cs="Arial"/>
          <w:color w:val="FF0000"/>
        </w:rPr>
        <w:t xml:space="preserve"> </w:t>
      </w:r>
    </w:p>
    <w:p w14:paraId="5A02DAE8" w14:textId="77777777" w:rsidR="00837748" w:rsidRPr="00F4022F" w:rsidRDefault="00837748" w:rsidP="00F4022F">
      <w:pPr>
        <w:rPr>
          <w:rFonts w:cs="Arial"/>
          <w:b/>
          <w:szCs w:val="22"/>
        </w:rPr>
      </w:pPr>
    </w:p>
    <w:p w14:paraId="5A02DAE9" w14:textId="77777777" w:rsidR="00F43895" w:rsidRPr="00F4022F" w:rsidRDefault="002F00B4" w:rsidP="00F4022F">
      <w:pPr>
        <w:rPr>
          <w:rFonts w:cs="Arial"/>
          <w:caps/>
          <w:szCs w:val="22"/>
        </w:rPr>
      </w:pPr>
      <w:r>
        <w:rPr>
          <w:rFonts w:cs="Arial"/>
          <w:b/>
          <w:caps/>
          <w:szCs w:val="22"/>
        </w:rPr>
        <w:t>6.</w:t>
      </w:r>
      <w:r w:rsidR="00F43895" w:rsidRPr="00F4022F">
        <w:rPr>
          <w:rFonts w:cs="Arial"/>
          <w:b/>
          <w:caps/>
          <w:szCs w:val="22"/>
        </w:rPr>
        <w:t xml:space="preserve">    LEGAL IMPLICATIONS</w:t>
      </w:r>
    </w:p>
    <w:p w14:paraId="5A02DAEA" w14:textId="77777777" w:rsidR="00F43895" w:rsidRPr="00F4022F" w:rsidRDefault="00F43895" w:rsidP="00F4022F">
      <w:pPr>
        <w:rPr>
          <w:rFonts w:cs="Arial"/>
          <w:caps/>
          <w:szCs w:val="22"/>
        </w:rPr>
      </w:pPr>
    </w:p>
    <w:p w14:paraId="5A02DAEB" w14:textId="77777777" w:rsidR="002F00B4" w:rsidRDefault="002F00B4" w:rsidP="002F00B4">
      <w:pPr>
        <w:tabs>
          <w:tab w:val="left" w:pos="709"/>
        </w:tabs>
        <w:ind w:left="709" w:hanging="709"/>
      </w:pPr>
      <w:r>
        <w:rPr>
          <w:rFonts w:cs="Arial"/>
          <w:caps/>
          <w:szCs w:val="22"/>
        </w:rPr>
        <w:t>6</w:t>
      </w:r>
      <w:r w:rsidR="0017294F" w:rsidRPr="00604A18">
        <w:rPr>
          <w:rFonts w:cs="Arial"/>
          <w:caps/>
          <w:szCs w:val="22"/>
        </w:rPr>
        <w:t>.1</w:t>
      </w:r>
      <w:r>
        <w:t>.</w:t>
      </w:r>
      <w:r w:rsidR="00742044">
        <w:t xml:space="preserve"> The legal implications are contained within the body of the report.</w:t>
      </w:r>
      <w:bookmarkStart w:id="0" w:name="_GoBack"/>
      <w:bookmarkEnd w:id="0"/>
    </w:p>
    <w:p w14:paraId="5A02DAEC" w14:textId="77777777" w:rsidR="002F00B4" w:rsidRDefault="002F00B4" w:rsidP="002F00B4">
      <w:pPr>
        <w:tabs>
          <w:tab w:val="left" w:pos="993"/>
        </w:tabs>
        <w:ind w:left="709"/>
      </w:pPr>
    </w:p>
    <w:p w14:paraId="5A02DAED" w14:textId="77777777" w:rsidR="00F43895" w:rsidRPr="00F4022F" w:rsidRDefault="002F00B4" w:rsidP="00F4022F">
      <w:pPr>
        <w:rPr>
          <w:rFonts w:cs="Arial"/>
          <w:b/>
          <w:szCs w:val="22"/>
        </w:rPr>
      </w:pPr>
      <w:r>
        <w:rPr>
          <w:rFonts w:cs="Arial"/>
          <w:b/>
          <w:szCs w:val="22"/>
        </w:rPr>
        <w:t>7</w:t>
      </w:r>
      <w:r w:rsidR="00F43895" w:rsidRPr="00F4022F">
        <w:rPr>
          <w:rFonts w:cs="Arial"/>
          <w:b/>
          <w:szCs w:val="22"/>
        </w:rPr>
        <w:t>.  COMMENTS OF THE STATUTORY FINANCE OFFICER</w:t>
      </w:r>
    </w:p>
    <w:p w14:paraId="5A02DAEE" w14:textId="77777777" w:rsidR="00BE2A3F" w:rsidRDefault="00BE2A3F" w:rsidP="00F4022F">
      <w:pPr>
        <w:rPr>
          <w:rFonts w:cs="Arial"/>
          <w:b/>
          <w:szCs w:val="22"/>
        </w:rPr>
      </w:pPr>
    </w:p>
    <w:p w14:paraId="38A34EE3" w14:textId="302A1BC7" w:rsidR="00B3082D" w:rsidRPr="00B3082D" w:rsidRDefault="00B3082D" w:rsidP="00F4022F">
      <w:pPr>
        <w:rPr>
          <w:rFonts w:cs="Arial"/>
          <w:szCs w:val="22"/>
        </w:rPr>
      </w:pPr>
      <w:r w:rsidRPr="00B3082D">
        <w:rPr>
          <w:rFonts w:cs="Arial"/>
          <w:szCs w:val="22"/>
        </w:rPr>
        <w:t>There are no financial comments in line with paragraph 5.1 of the report.</w:t>
      </w:r>
    </w:p>
    <w:p w14:paraId="5A02DAEF" w14:textId="77777777" w:rsidR="002F00B4" w:rsidRPr="00F4022F" w:rsidRDefault="002F00B4" w:rsidP="00F4022F">
      <w:pPr>
        <w:rPr>
          <w:rFonts w:cs="Arial"/>
          <w:b/>
          <w:szCs w:val="22"/>
        </w:rPr>
      </w:pPr>
    </w:p>
    <w:p w14:paraId="5A02DAF0" w14:textId="77777777" w:rsidR="00F43895" w:rsidRPr="00F4022F" w:rsidRDefault="006D748F" w:rsidP="00F4022F">
      <w:pPr>
        <w:rPr>
          <w:rFonts w:cs="Arial"/>
          <w:b/>
          <w:szCs w:val="22"/>
        </w:rPr>
      </w:pPr>
      <w:r w:rsidRPr="00F4022F">
        <w:rPr>
          <w:rFonts w:cs="Arial"/>
          <w:b/>
          <w:szCs w:val="22"/>
        </w:rPr>
        <w:t>9</w:t>
      </w:r>
      <w:r w:rsidR="00BE2A3F" w:rsidRPr="00F4022F">
        <w:rPr>
          <w:rFonts w:cs="Arial"/>
          <w:b/>
          <w:szCs w:val="22"/>
        </w:rPr>
        <w:t xml:space="preserve">.  </w:t>
      </w:r>
      <w:r w:rsidR="00F43895" w:rsidRPr="00F4022F">
        <w:rPr>
          <w:rFonts w:cs="Arial"/>
          <w:b/>
          <w:szCs w:val="22"/>
        </w:rPr>
        <w:t>COMMENTS OF THE MONITORING OFFICER</w:t>
      </w:r>
    </w:p>
    <w:p w14:paraId="5A02DAF1" w14:textId="77777777" w:rsidR="006D748F" w:rsidRPr="0060340A" w:rsidRDefault="002C0ECB" w:rsidP="00F4022F">
      <w:pPr>
        <w:rPr>
          <w:rFonts w:cs="Arial"/>
          <w:szCs w:val="22"/>
        </w:rPr>
      </w:pPr>
      <w:r>
        <w:rPr>
          <w:rFonts w:cs="Arial"/>
          <w:b/>
          <w:szCs w:val="22"/>
        </w:rPr>
        <w:t xml:space="preserve"> </w:t>
      </w:r>
      <w:r w:rsidRPr="0060340A">
        <w:rPr>
          <w:rFonts w:cs="Arial"/>
          <w:szCs w:val="22"/>
        </w:rPr>
        <w:t>Please see Para 6.1 above.</w:t>
      </w:r>
    </w:p>
    <w:p w14:paraId="5A02DAF2" w14:textId="77777777" w:rsidR="00745026" w:rsidRPr="00F4022F" w:rsidRDefault="00745026" w:rsidP="00F4022F">
      <w:pPr>
        <w:ind w:left="567" w:hanging="567"/>
        <w:rPr>
          <w:rFonts w:cs="Arial"/>
          <w:b/>
          <w:strike/>
          <w:szCs w:val="22"/>
        </w:rPr>
      </w:pPr>
    </w:p>
    <w:p w14:paraId="5A02DAF3" w14:textId="77777777" w:rsidR="000B5251" w:rsidRPr="00F4022F" w:rsidRDefault="006D748F" w:rsidP="00F4022F">
      <w:pPr>
        <w:rPr>
          <w:rFonts w:cs="Arial"/>
          <w:b/>
          <w:szCs w:val="22"/>
        </w:rPr>
      </w:pPr>
      <w:r w:rsidRPr="00F4022F">
        <w:rPr>
          <w:rFonts w:cs="Arial"/>
          <w:b/>
          <w:szCs w:val="22"/>
        </w:rPr>
        <w:t>10</w:t>
      </w:r>
      <w:r w:rsidR="000C24D0" w:rsidRPr="00F4022F">
        <w:rPr>
          <w:rFonts w:cs="Arial"/>
          <w:b/>
          <w:szCs w:val="22"/>
        </w:rPr>
        <w:t xml:space="preserve">.  </w:t>
      </w:r>
      <w:r w:rsidR="000B5251" w:rsidRPr="00F4022F">
        <w:rPr>
          <w:rFonts w:cs="Arial"/>
          <w:b/>
          <w:szCs w:val="22"/>
        </w:rPr>
        <w:t xml:space="preserve">OTHER IMPLICATIONS: </w:t>
      </w:r>
    </w:p>
    <w:p w14:paraId="5A02DAF4" w14:textId="77777777"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14:paraId="5A02DB15" w14:textId="77777777" w:rsidTr="009C1143">
        <w:trPr>
          <w:trHeight w:val="334"/>
        </w:trPr>
        <w:tc>
          <w:tcPr>
            <w:tcW w:w="3544" w:type="dxa"/>
            <w:shd w:val="clear" w:color="auto" w:fill="auto"/>
          </w:tcPr>
          <w:p w14:paraId="5A02DAF5" w14:textId="77777777" w:rsidR="002F5C5E" w:rsidRPr="00F4022F" w:rsidRDefault="002F5C5E" w:rsidP="00F4022F">
            <w:pPr>
              <w:rPr>
                <w:rFonts w:cs="Arial"/>
                <w:b/>
                <w:szCs w:val="22"/>
              </w:rPr>
            </w:pPr>
          </w:p>
          <w:p w14:paraId="5A02DAF6" w14:textId="77777777"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14:paraId="5A02DAF7" w14:textId="77777777" w:rsidR="00A56681" w:rsidRPr="00F4022F" w:rsidRDefault="00A56681" w:rsidP="00F4022F">
            <w:pPr>
              <w:ind w:left="360"/>
              <w:rPr>
                <w:rFonts w:cs="Arial"/>
                <w:b/>
                <w:szCs w:val="22"/>
              </w:rPr>
            </w:pPr>
          </w:p>
          <w:p w14:paraId="5A02DAF8" w14:textId="77777777" w:rsidR="00A56681" w:rsidRPr="00F4022F" w:rsidRDefault="00A56681" w:rsidP="00F4022F">
            <w:pPr>
              <w:numPr>
                <w:ilvl w:val="0"/>
                <w:numId w:val="11"/>
              </w:numPr>
              <w:ind w:left="360"/>
              <w:rPr>
                <w:rFonts w:cs="Arial"/>
                <w:b/>
                <w:szCs w:val="22"/>
              </w:rPr>
            </w:pPr>
            <w:r w:rsidRPr="00F4022F">
              <w:rPr>
                <w:rFonts w:cs="Arial"/>
                <w:b/>
                <w:szCs w:val="22"/>
              </w:rPr>
              <w:t>ICT / Technology</w:t>
            </w:r>
          </w:p>
          <w:p w14:paraId="5A02DAF9" w14:textId="77777777" w:rsidR="002F5C5E" w:rsidRPr="00F4022F" w:rsidRDefault="002F5C5E" w:rsidP="00F4022F">
            <w:pPr>
              <w:ind w:left="360"/>
              <w:rPr>
                <w:rFonts w:cs="Arial"/>
                <w:b/>
                <w:szCs w:val="22"/>
              </w:rPr>
            </w:pPr>
          </w:p>
          <w:p w14:paraId="5A02DAFA" w14:textId="77777777" w:rsidR="002F5C5E" w:rsidRPr="00F4022F" w:rsidRDefault="002F5C5E" w:rsidP="00F4022F">
            <w:pPr>
              <w:rPr>
                <w:rFonts w:cs="Arial"/>
                <w:b/>
                <w:szCs w:val="22"/>
              </w:rPr>
            </w:pPr>
          </w:p>
          <w:p w14:paraId="5A02DAFB" w14:textId="77777777"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14:paraId="5A02DAFC" w14:textId="77777777" w:rsidR="00A56681" w:rsidRPr="00F4022F" w:rsidRDefault="00A56681" w:rsidP="00F4022F">
            <w:pPr>
              <w:ind w:left="360"/>
              <w:rPr>
                <w:rFonts w:cs="Arial"/>
                <w:b/>
                <w:szCs w:val="22"/>
              </w:rPr>
            </w:pPr>
          </w:p>
          <w:p w14:paraId="5A02DAFD" w14:textId="77777777" w:rsidR="00515B7F" w:rsidRDefault="00515B7F" w:rsidP="00515B7F">
            <w:pPr>
              <w:ind w:left="360"/>
              <w:rPr>
                <w:rFonts w:cs="Arial"/>
                <w:b/>
                <w:szCs w:val="22"/>
              </w:rPr>
            </w:pPr>
          </w:p>
          <w:p w14:paraId="5A02DAFE" w14:textId="77777777" w:rsidR="00515B7F" w:rsidRDefault="00515B7F" w:rsidP="00515B7F">
            <w:pPr>
              <w:pStyle w:val="ListParagraph"/>
              <w:rPr>
                <w:rFonts w:cs="Arial"/>
                <w:b/>
              </w:rPr>
            </w:pPr>
          </w:p>
          <w:p w14:paraId="5A02DAFF" w14:textId="77777777" w:rsidR="002F5C5E" w:rsidRPr="00F4022F" w:rsidRDefault="00A56681" w:rsidP="00F4022F">
            <w:pPr>
              <w:numPr>
                <w:ilvl w:val="0"/>
                <w:numId w:val="11"/>
              </w:numPr>
              <w:ind w:left="360"/>
              <w:rPr>
                <w:rFonts w:cs="Arial"/>
                <w:b/>
                <w:szCs w:val="22"/>
              </w:rPr>
            </w:pPr>
            <w:r w:rsidRPr="00F4022F">
              <w:rPr>
                <w:rFonts w:cs="Arial"/>
                <w:b/>
                <w:szCs w:val="22"/>
              </w:rPr>
              <w:t xml:space="preserve">Risk </w:t>
            </w:r>
          </w:p>
          <w:p w14:paraId="5A02DB00" w14:textId="77777777" w:rsidR="006D748F" w:rsidRPr="00F4022F" w:rsidRDefault="006D748F" w:rsidP="00F4022F">
            <w:pPr>
              <w:pStyle w:val="ListParagraph"/>
              <w:spacing w:line="240" w:lineRule="auto"/>
              <w:rPr>
                <w:rFonts w:ascii="Arial" w:hAnsi="Arial" w:cs="Arial"/>
                <w:b/>
              </w:rPr>
            </w:pPr>
          </w:p>
          <w:p w14:paraId="5A02DB01" w14:textId="77777777" w:rsidR="006D748F" w:rsidRPr="00F4022F" w:rsidRDefault="006D748F" w:rsidP="00F4022F">
            <w:pPr>
              <w:ind w:left="360"/>
              <w:rPr>
                <w:rFonts w:cs="Arial"/>
                <w:b/>
                <w:szCs w:val="22"/>
              </w:rPr>
            </w:pPr>
          </w:p>
          <w:p w14:paraId="5A02DB02" w14:textId="77777777" w:rsidR="006D748F" w:rsidRDefault="006D748F" w:rsidP="00F4022F">
            <w:pPr>
              <w:rPr>
                <w:rFonts w:cs="Arial"/>
                <w:b/>
                <w:szCs w:val="22"/>
              </w:rPr>
            </w:pPr>
          </w:p>
          <w:p w14:paraId="5A02DB03" w14:textId="77777777" w:rsidR="002E3A51" w:rsidRPr="00F4022F" w:rsidRDefault="002E3A51" w:rsidP="00F4022F">
            <w:pPr>
              <w:rPr>
                <w:rFonts w:cs="Arial"/>
                <w:b/>
                <w:szCs w:val="22"/>
              </w:rPr>
            </w:pPr>
          </w:p>
          <w:p w14:paraId="5A02DB04" w14:textId="77777777"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14:paraId="5A02DB05" w14:textId="77777777" w:rsidR="00A56681" w:rsidRPr="00F4022F" w:rsidRDefault="00A56681" w:rsidP="00F4022F">
            <w:pPr>
              <w:rPr>
                <w:rFonts w:cs="Arial"/>
                <w:b/>
                <w:szCs w:val="22"/>
              </w:rPr>
            </w:pPr>
          </w:p>
          <w:p w14:paraId="5A02DB06" w14:textId="77777777" w:rsidR="002F5C5E" w:rsidRPr="00F4022F" w:rsidRDefault="002F5C5E" w:rsidP="00F4022F">
            <w:pPr>
              <w:rPr>
                <w:rFonts w:cs="Arial"/>
                <w:szCs w:val="22"/>
              </w:rPr>
            </w:pPr>
          </w:p>
        </w:tc>
        <w:tc>
          <w:tcPr>
            <w:tcW w:w="6379" w:type="dxa"/>
            <w:shd w:val="clear" w:color="auto" w:fill="auto"/>
          </w:tcPr>
          <w:p w14:paraId="5A02DB07" w14:textId="77777777" w:rsidR="002F5C5E" w:rsidRPr="00F4022F" w:rsidRDefault="002F5C5E" w:rsidP="00F4022F">
            <w:pPr>
              <w:rPr>
                <w:rFonts w:cs="Arial"/>
                <w:szCs w:val="22"/>
              </w:rPr>
            </w:pPr>
          </w:p>
          <w:p w14:paraId="5A02DB08" w14:textId="77777777" w:rsidR="00F43895" w:rsidRPr="00F4022F" w:rsidRDefault="000C24D0" w:rsidP="00F4022F">
            <w:pPr>
              <w:rPr>
                <w:rFonts w:cs="Arial"/>
                <w:szCs w:val="22"/>
              </w:rPr>
            </w:pPr>
            <w:r w:rsidRPr="00F4022F">
              <w:rPr>
                <w:rFonts w:cs="Arial"/>
                <w:szCs w:val="22"/>
              </w:rPr>
              <w:t>None</w:t>
            </w:r>
          </w:p>
          <w:p w14:paraId="5A02DB09" w14:textId="77777777" w:rsidR="00F43895" w:rsidRPr="00F4022F" w:rsidRDefault="00F43895" w:rsidP="00F4022F">
            <w:pPr>
              <w:rPr>
                <w:rFonts w:cs="Arial"/>
                <w:szCs w:val="22"/>
              </w:rPr>
            </w:pPr>
          </w:p>
          <w:p w14:paraId="5A02DB0A" w14:textId="77777777" w:rsidR="00A56681" w:rsidRPr="00F4022F" w:rsidRDefault="00A56681" w:rsidP="00F4022F">
            <w:pPr>
              <w:rPr>
                <w:rFonts w:cs="Arial"/>
                <w:szCs w:val="22"/>
              </w:rPr>
            </w:pPr>
          </w:p>
          <w:p w14:paraId="5A02DB0B" w14:textId="77777777"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14:paraId="5A02DB0C" w14:textId="77777777" w:rsidR="00F43895" w:rsidRPr="00F4022F" w:rsidRDefault="00F43895" w:rsidP="00F4022F">
            <w:pPr>
              <w:rPr>
                <w:rFonts w:cs="Arial"/>
                <w:szCs w:val="22"/>
              </w:rPr>
            </w:pPr>
          </w:p>
          <w:p w14:paraId="5A02DB0D" w14:textId="77777777" w:rsidR="00A56681" w:rsidRPr="00F4022F" w:rsidRDefault="00A56681" w:rsidP="00F4022F">
            <w:pPr>
              <w:rPr>
                <w:rFonts w:cs="Arial"/>
                <w:szCs w:val="22"/>
              </w:rPr>
            </w:pPr>
          </w:p>
          <w:p w14:paraId="5A02DB0E" w14:textId="77777777" w:rsidR="00F43895" w:rsidRDefault="000C24D0" w:rsidP="00F4022F">
            <w:pPr>
              <w:rPr>
                <w:rFonts w:cs="Arial"/>
                <w:szCs w:val="22"/>
              </w:rPr>
            </w:pPr>
            <w:r w:rsidRPr="00F4022F">
              <w:rPr>
                <w:rFonts w:cs="Arial"/>
                <w:szCs w:val="22"/>
              </w:rPr>
              <w:t>None</w:t>
            </w:r>
          </w:p>
          <w:p w14:paraId="5A02DB0F" w14:textId="77777777" w:rsidR="00515B7F" w:rsidRDefault="00515B7F" w:rsidP="00F4022F">
            <w:pPr>
              <w:rPr>
                <w:rFonts w:cs="Arial"/>
                <w:szCs w:val="22"/>
              </w:rPr>
            </w:pPr>
          </w:p>
          <w:p w14:paraId="5A02DB10" w14:textId="77777777" w:rsidR="00515B7F" w:rsidRPr="00F4022F" w:rsidRDefault="00515B7F" w:rsidP="00F4022F">
            <w:pPr>
              <w:rPr>
                <w:rFonts w:cs="Arial"/>
                <w:szCs w:val="22"/>
              </w:rPr>
            </w:pPr>
          </w:p>
          <w:p w14:paraId="5A02DB11" w14:textId="77777777" w:rsidR="00F43895" w:rsidRPr="00F4022F" w:rsidRDefault="00F43895" w:rsidP="00F4022F">
            <w:pPr>
              <w:rPr>
                <w:rFonts w:cs="Arial"/>
                <w:szCs w:val="22"/>
              </w:rPr>
            </w:pPr>
          </w:p>
          <w:p w14:paraId="5A02DB12" w14:textId="77777777" w:rsidR="00A56681" w:rsidRPr="00F4022F" w:rsidRDefault="00A56681" w:rsidP="00F4022F">
            <w:pPr>
              <w:rPr>
                <w:rFonts w:cs="Arial"/>
                <w:szCs w:val="22"/>
              </w:rPr>
            </w:pPr>
          </w:p>
          <w:p w14:paraId="5A02DB13" w14:textId="77777777" w:rsidR="002E3A51" w:rsidRPr="00F4022F" w:rsidRDefault="002E3A51" w:rsidP="00F4022F">
            <w:pPr>
              <w:rPr>
                <w:rFonts w:cs="Arial"/>
                <w:szCs w:val="22"/>
              </w:rPr>
            </w:pPr>
          </w:p>
          <w:p w14:paraId="5A02DB14" w14:textId="77777777" w:rsidR="00F43895" w:rsidRPr="00F4022F" w:rsidRDefault="000C24D0" w:rsidP="00F4022F">
            <w:pPr>
              <w:rPr>
                <w:rFonts w:cs="Arial"/>
                <w:i/>
                <w:color w:val="2E74B5" w:themeColor="accent1" w:themeShade="BF"/>
                <w:szCs w:val="22"/>
              </w:rPr>
            </w:pPr>
            <w:r w:rsidRPr="00F4022F">
              <w:rPr>
                <w:rFonts w:cs="Arial"/>
                <w:szCs w:val="22"/>
              </w:rPr>
              <w:t>Non</w:t>
            </w:r>
            <w:r w:rsidR="00F43895" w:rsidRPr="00F4022F">
              <w:rPr>
                <w:rFonts w:cs="Arial"/>
                <w:szCs w:val="22"/>
              </w:rPr>
              <w:t>e</w:t>
            </w:r>
          </w:p>
        </w:tc>
      </w:tr>
    </w:tbl>
    <w:p w14:paraId="5A02DB16" w14:textId="77777777" w:rsidR="000B5251" w:rsidRDefault="000B5251" w:rsidP="000B5251">
      <w:pPr>
        <w:rPr>
          <w:i/>
          <w:color w:val="0070C0"/>
          <w:szCs w:val="22"/>
        </w:rPr>
      </w:pPr>
    </w:p>
    <w:p w14:paraId="5A02DB17" w14:textId="77777777" w:rsidR="000C24D0" w:rsidRDefault="000C24D0" w:rsidP="000B5251">
      <w:pPr>
        <w:rPr>
          <w:i/>
          <w:color w:val="0070C0"/>
          <w:szCs w:val="22"/>
        </w:rPr>
      </w:pPr>
    </w:p>
    <w:p w14:paraId="5A02DB18" w14:textId="77777777" w:rsidR="000B5251" w:rsidRDefault="000B5251" w:rsidP="000B5251">
      <w:pPr>
        <w:rPr>
          <w:b/>
        </w:rPr>
      </w:pPr>
      <w:r w:rsidRPr="00792A2B">
        <w:rPr>
          <w:b/>
        </w:rPr>
        <w:t>1</w:t>
      </w:r>
      <w:r w:rsidR="00F75C9D">
        <w:rPr>
          <w:b/>
        </w:rPr>
        <w:t>1</w:t>
      </w:r>
      <w:r w:rsidRPr="00792A2B">
        <w:rPr>
          <w:b/>
        </w:rPr>
        <w:t xml:space="preserve">. APPENDICES </w:t>
      </w:r>
    </w:p>
    <w:p w14:paraId="5A02DB19" w14:textId="77777777" w:rsidR="006717AB" w:rsidRDefault="006717AB" w:rsidP="000B5251">
      <w:pPr>
        <w:rPr>
          <w:b/>
        </w:rPr>
      </w:pPr>
    </w:p>
    <w:p w14:paraId="5A02DB1A" w14:textId="77777777" w:rsidR="002F00B4" w:rsidRDefault="001343F3" w:rsidP="000B5251">
      <w:pPr>
        <w:rPr>
          <w:b/>
        </w:rPr>
      </w:pPr>
      <w:r>
        <w:rPr>
          <w:b/>
        </w:rPr>
        <w:t xml:space="preserve">Appendix A - </w:t>
      </w:r>
      <w:r w:rsidR="009A5E0E">
        <w:rPr>
          <w:b/>
        </w:rPr>
        <w:t>Previous Hearings Guidance</w:t>
      </w:r>
    </w:p>
    <w:p w14:paraId="5A02DB1B" w14:textId="77777777" w:rsidR="009A5E0E" w:rsidRDefault="001343F3" w:rsidP="000B5251">
      <w:pPr>
        <w:rPr>
          <w:b/>
        </w:rPr>
      </w:pPr>
      <w:r>
        <w:rPr>
          <w:b/>
        </w:rPr>
        <w:t xml:space="preserve">Appendix B - </w:t>
      </w:r>
      <w:r w:rsidR="009A5E0E">
        <w:rPr>
          <w:b/>
        </w:rPr>
        <w:t>Proposed Guidance</w:t>
      </w:r>
    </w:p>
    <w:p w14:paraId="5A02DB1C" w14:textId="77777777" w:rsidR="009A5E0E" w:rsidRDefault="001343F3" w:rsidP="000B5251">
      <w:pPr>
        <w:rPr>
          <w:b/>
        </w:rPr>
      </w:pPr>
      <w:r>
        <w:rPr>
          <w:b/>
        </w:rPr>
        <w:t xml:space="preserve">Appendix C - </w:t>
      </w:r>
      <w:r w:rsidR="009A5E0E">
        <w:rPr>
          <w:b/>
        </w:rPr>
        <w:t>Copy of Regulation 8 Notice</w:t>
      </w:r>
    </w:p>
    <w:p w14:paraId="5A02DB1D" w14:textId="77777777" w:rsidR="000B5251" w:rsidRDefault="000B5251" w:rsidP="000B525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14:paraId="5A02DB21" w14:textId="77777777" w:rsidTr="001D28E4">
        <w:tc>
          <w:tcPr>
            <w:tcW w:w="5614" w:type="dxa"/>
            <w:shd w:val="clear" w:color="auto" w:fill="auto"/>
          </w:tcPr>
          <w:p w14:paraId="5A02DB1E" w14:textId="77777777" w:rsidR="001C5E49" w:rsidRPr="0031059E" w:rsidRDefault="001C5E49" w:rsidP="00E2196F">
            <w:pPr>
              <w:rPr>
                <w:rFonts w:cs="Arial"/>
              </w:rPr>
            </w:pPr>
            <w:r w:rsidRPr="0031059E">
              <w:rPr>
                <w:rFonts w:cs="Arial"/>
              </w:rPr>
              <w:t>Report Author:</w:t>
            </w:r>
          </w:p>
        </w:tc>
        <w:tc>
          <w:tcPr>
            <w:tcW w:w="1555" w:type="dxa"/>
            <w:shd w:val="clear" w:color="auto" w:fill="auto"/>
          </w:tcPr>
          <w:p w14:paraId="5A02DB1F" w14:textId="77777777" w:rsidR="001C5E49" w:rsidRPr="0031059E" w:rsidRDefault="001C5E49" w:rsidP="00E2196F">
            <w:pPr>
              <w:rPr>
                <w:rFonts w:cs="Arial"/>
              </w:rPr>
            </w:pPr>
            <w:r w:rsidRPr="0031059E">
              <w:rPr>
                <w:rFonts w:cs="Arial"/>
              </w:rPr>
              <w:t>Telephone:</w:t>
            </w:r>
          </w:p>
        </w:tc>
        <w:tc>
          <w:tcPr>
            <w:tcW w:w="2351" w:type="dxa"/>
            <w:shd w:val="clear" w:color="auto" w:fill="auto"/>
          </w:tcPr>
          <w:p w14:paraId="5A02DB20" w14:textId="77777777" w:rsidR="001C5E49" w:rsidRPr="0031059E" w:rsidRDefault="001C5E49" w:rsidP="00E2196F">
            <w:pPr>
              <w:rPr>
                <w:rFonts w:cs="Arial"/>
              </w:rPr>
            </w:pPr>
            <w:r w:rsidRPr="0031059E">
              <w:rPr>
                <w:rFonts w:cs="Arial"/>
              </w:rPr>
              <w:t>Date:</w:t>
            </w:r>
          </w:p>
        </w:tc>
      </w:tr>
      <w:tr w:rsidR="00C903AC" w14:paraId="5A02DB2A" w14:textId="77777777" w:rsidTr="001D28E4">
        <w:tc>
          <w:tcPr>
            <w:tcW w:w="5614" w:type="dxa"/>
            <w:shd w:val="clear" w:color="auto" w:fill="auto"/>
          </w:tcPr>
          <w:p w14:paraId="5A02DB22" w14:textId="77777777" w:rsidR="00C903AC" w:rsidRDefault="00C903AC" w:rsidP="00C903AC">
            <w:pPr>
              <w:rPr>
                <w:rFonts w:cs="Arial"/>
                <w:i/>
                <w:color w:val="2E74B5" w:themeColor="accent1" w:themeShade="BF"/>
              </w:rPr>
            </w:pPr>
          </w:p>
          <w:p w14:paraId="5A02DB23" w14:textId="77777777" w:rsidR="00DD2D13" w:rsidRPr="00DD2D13" w:rsidRDefault="009674A1" w:rsidP="00C903AC">
            <w:pPr>
              <w:rPr>
                <w:rFonts w:cs="Arial"/>
              </w:rPr>
            </w:pPr>
            <w:r>
              <w:rPr>
                <w:rFonts w:cs="Arial"/>
              </w:rPr>
              <w:t>Mark Marshall</w:t>
            </w:r>
          </w:p>
          <w:p w14:paraId="5A02DB24" w14:textId="77777777" w:rsidR="00C903AC" w:rsidRPr="0031059E" w:rsidRDefault="00C903AC" w:rsidP="00C903AC">
            <w:pPr>
              <w:ind w:left="-539" w:firstLine="539"/>
              <w:rPr>
                <w:rFonts w:cs="Arial"/>
              </w:rPr>
            </w:pPr>
          </w:p>
        </w:tc>
        <w:tc>
          <w:tcPr>
            <w:tcW w:w="1555" w:type="dxa"/>
            <w:shd w:val="clear" w:color="auto" w:fill="auto"/>
          </w:tcPr>
          <w:p w14:paraId="5A02DB25" w14:textId="77777777" w:rsidR="00745026" w:rsidRDefault="00745026" w:rsidP="00C903AC">
            <w:pPr>
              <w:rPr>
                <w:rFonts w:cs="Arial"/>
              </w:rPr>
            </w:pPr>
          </w:p>
          <w:p w14:paraId="5A02DB26" w14:textId="77777777" w:rsidR="00C903AC" w:rsidRDefault="00DD2D13" w:rsidP="00C903AC">
            <w:pPr>
              <w:rPr>
                <w:rFonts w:cs="Arial"/>
              </w:rPr>
            </w:pPr>
            <w:r>
              <w:rPr>
                <w:rFonts w:cs="Arial"/>
              </w:rPr>
              <w:t>01772 625401</w:t>
            </w:r>
          </w:p>
          <w:p w14:paraId="5A02DB27" w14:textId="77777777" w:rsidR="00745026" w:rsidRPr="0031059E" w:rsidRDefault="00745026" w:rsidP="00C903AC">
            <w:pPr>
              <w:rPr>
                <w:rFonts w:cs="Arial"/>
              </w:rPr>
            </w:pPr>
          </w:p>
        </w:tc>
        <w:tc>
          <w:tcPr>
            <w:tcW w:w="2351" w:type="dxa"/>
            <w:shd w:val="clear" w:color="auto" w:fill="auto"/>
          </w:tcPr>
          <w:p w14:paraId="5A02DB28" w14:textId="77777777" w:rsidR="00745026" w:rsidRDefault="00745026" w:rsidP="00C903AC">
            <w:pPr>
              <w:rPr>
                <w:rFonts w:cs="Arial"/>
              </w:rPr>
            </w:pPr>
          </w:p>
          <w:p w14:paraId="5A02DB29" w14:textId="77777777" w:rsidR="00C903AC" w:rsidRPr="0031059E" w:rsidRDefault="009A5E0E" w:rsidP="001343F3">
            <w:pPr>
              <w:rPr>
                <w:rFonts w:cs="Arial"/>
              </w:rPr>
            </w:pPr>
            <w:r>
              <w:rPr>
                <w:rFonts w:cs="Arial"/>
              </w:rPr>
              <w:t>4 July 2018</w:t>
            </w:r>
            <w:r w:rsidR="00142109">
              <w:rPr>
                <w:rFonts w:cs="Arial"/>
              </w:rPr>
              <w:t xml:space="preserve"> </w:t>
            </w:r>
          </w:p>
        </w:tc>
      </w:tr>
    </w:tbl>
    <w:p w14:paraId="5A02DB2B" w14:textId="77777777"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DB30" w14:textId="77777777" w:rsidR="00F90C28" w:rsidRDefault="00F90C28">
      <w:r>
        <w:separator/>
      </w:r>
    </w:p>
  </w:endnote>
  <w:endnote w:type="continuationSeparator" w:id="0">
    <w:p w14:paraId="5A02DB31" w14:textId="77777777" w:rsidR="00F90C28" w:rsidRDefault="00F9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DB32"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3082D">
      <w:rPr>
        <w:noProof/>
        <w:sz w:val="24"/>
      </w:rPr>
      <w:t>3</w:t>
    </w:r>
    <w:r w:rsidRPr="00FD7B65">
      <w:rPr>
        <w:noProof/>
        <w:sz w:val="24"/>
      </w:rPr>
      <w:fldChar w:fldCharType="end"/>
    </w:r>
  </w:p>
  <w:p w14:paraId="5A02DB33"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DB2E" w14:textId="77777777" w:rsidR="00F90C28" w:rsidRDefault="00F90C28">
      <w:r>
        <w:separator/>
      </w:r>
    </w:p>
  </w:footnote>
  <w:footnote w:type="continuationSeparator" w:id="0">
    <w:p w14:paraId="5A02DB2F" w14:textId="77777777" w:rsidR="00F90C28" w:rsidRDefault="00F9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00B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2F45"/>
    <w:multiLevelType w:val="hybridMultilevel"/>
    <w:tmpl w:val="BC12A1C8"/>
    <w:lvl w:ilvl="0" w:tplc="3F08A0A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D3C6BF8"/>
    <w:multiLevelType w:val="hybridMultilevel"/>
    <w:tmpl w:val="E0E4509E"/>
    <w:lvl w:ilvl="0" w:tplc="D934386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1"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4"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num>
  <w:num w:numId="3">
    <w:abstractNumId w:val="37"/>
  </w:num>
  <w:num w:numId="4">
    <w:abstractNumId w:val="22"/>
  </w:num>
  <w:num w:numId="5">
    <w:abstractNumId w:val="30"/>
  </w:num>
  <w:num w:numId="6">
    <w:abstractNumId w:val="17"/>
  </w:num>
  <w:num w:numId="7">
    <w:abstractNumId w:val="14"/>
  </w:num>
  <w:num w:numId="8">
    <w:abstractNumId w:val="15"/>
  </w:num>
  <w:num w:numId="9">
    <w:abstractNumId w:val="4"/>
  </w:num>
  <w:num w:numId="10">
    <w:abstractNumId w:val="9"/>
  </w:num>
  <w:num w:numId="11">
    <w:abstractNumId w:val="13"/>
  </w:num>
  <w:num w:numId="12">
    <w:abstractNumId w:val="26"/>
  </w:num>
  <w:num w:numId="13">
    <w:abstractNumId w:val="1"/>
  </w:num>
  <w:num w:numId="14">
    <w:abstractNumId w:val="43"/>
  </w:num>
  <w:num w:numId="15">
    <w:abstractNumId w:val="19"/>
  </w:num>
  <w:num w:numId="16">
    <w:abstractNumId w:val="18"/>
  </w:num>
  <w:num w:numId="17">
    <w:abstractNumId w:val="6"/>
  </w:num>
  <w:num w:numId="18">
    <w:abstractNumId w:val="28"/>
  </w:num>
  <w:num w:numId="19">
    <w:abstractNumId w:val="23"/>
  </w:num>
  <w:num w:numId="20">
    <w:abstractNumId w:val="20"/>
  </w:num>
  <w:num w:numId="21">
    <w:abstractNumId w:val="24"/>
  </w:num>
  <w:num w:numId="22">
    <w:abstractNumId w:val="3"/>
  </w:num>
  <w:num w:numId="23">
    <w:abstractNumId w:val="11"/>
  </w:num>
  <w:num w:numId="24">
    <w:abstractNumId w:val="36"/>
  </w:num>
  <w:num w:numId="25">
    <w:abstractNumId w:val="40"/>
  </w:num>
  <w:num w:numId="26">
    <w:abstractNumId w:val="16"/>
  </w:num>
  <w:num w:numId="27">
    <w:abstractNumId w:val="25"/>
  </w:num>
  <w:num w:numId="28">
    <w:abstractNumId w:val="38"/>
  </w:num>
  <w:num w:numId="29">
    <w:abstractNumId w:val="42"/>
  </w:num>
  <w:num w:numId="30">
    <w:abstractNumId w:val="45"/>
  </w:num>
  <w:num w:numId="31">
    <w:abstractNumId w:val="10"/>
  </w:num>
  <w:num w:numId="32">
    <w:abstractNumId w:val="35"/>
  </w:num>
  <w:num w:numId="33">
    <w:abstractNumId w:val="12"/>
  </w:num>
  <w:num w:numId="34">
    <w:abstractNumId w:val="41"/>
  </w:num>
  <w:num w:numId="35">
    <w:abstractNumId w:val="39"/>
  </w:num>
  <w:num w:numId="36">
    <w:abstractNumId w:val="44"/>
  </w:num>
  <w:num w:numId="37">
    <w:abstractNumId w:val="2"/>
  </w:num>
  <w:num w:numId="38">
    <w:abstractNumId w:val="31"/>
  </w:num>
  <w:num w:numId="39">
    <w:abstractNumId w:val="29"/>
  </w:num>
  <w:num w:numId="40">
    <w:abstractNumId w:val="46"/>
  </w:num>
  <w:num w:numId="41">
    <w:abstractNumId w:val="33"/>
  </w:num>
  <w:num w:numId="42">
    <w:abstractNumId w:val="32"/>
  </w:num>
  <w:num w:numId="43">
    <w:abstractNumId w:val="0"/>
  </w:num>
  <w:num w:numId="44">
    <w:abstractNumId w:val="8"/>
  </w:num>
  <w:num w:numId="45">
    <w:abstractNumId w:val="21"/>
  </w:num>
  <w:num w:numId="46">
    <w:abstractNumId w:val="47"/>
  </w:num>
  <w:num w:numId="47">
    <w:abstractNumId w:val="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17317"/>
    <w:rsid w:val="00025DED"/>
    <w:rsid w:val="00067B79"/>
    <w:rsid w:val="000B5251"/>
    <w:rsid w:val="000B621E"/>
    <w:rsid w:val="000C24D0"/>
    <w:rsid w:val="000E10FE"/>
    <w:rsid w:val="000F2C8A"/>
    <w:rsid w:val="001343F3"/>
    <w:rsid w:val="00142109"/>
    <w:rsid w:val="00153993"/>
    <w:rsid w:val="001544DD"/>
    <w:rsid w:val="00161BC0"/>
    <w:rsid w:val="0016571F"/>
    <w:rsid w:val="0017294F"/>
    <w:rsid w:val="00184E1D"/>
    <w:rsid w:val="00185E4F"/>
    <w:rsid w:val="001938D6"/>
    <w:rsid w:val="001B1D4F"/>
    <w:rsid w:val="001C5E49"/>
    <w:rsid w:val="001D28E4"/>
    <w:rsid w:val="002144D0"/>
    <w:rsid w:val="002221BD"/>
    <w:rsid w:val="00237E9D"/>
    <w:rsid w:val="00242744"/>
    <w:rsid w:val="0025591B"/>
    <w:rsid w:val="00262CC8"/>
    <w:rsid w:val="00274776"/>
    <w:rsid w:val="002820A5"/>
    <w:rsid w:val="002A671F"/>
    <w:rsid w:val="002C0ECB"/>
    <w:rsid w:val="002D62DF"/>
    <w:rsid w:val="002E3A51"/>
    <w:rsid w:val="002E4FF4"/>
    <w:rsid w:val="002F00B4"/>
    <w:rsid w:val="002F5C5E"/>
    <w:rsid w:val="003400B6"/>
    <w:rsid w:val="00342AB1"/>
    <w:rsid w:val="00345C71"/>
    <w:rsid w:val="00386AAD"/>
    <w:rsid w:val="003902A2"/>
    <w:rsid w:val="003A1B3F"/>
    <w:rsid w:val="003A23D3"/>
    <w:rsid w:val="003A2919"/>
    <w:rsid w:val="003B1E6D"/>
    <w:rsid w:val="003C36EB"/>
    <w:rsid w:val="003E33E6"/>
    <w:rsid w:val="003F0035"/>
    <w:rsid w:val="003F5603"/>
    <w:rsid w:val="00405D4A"/>
    <w:rsid w:val="004218EA"/>
    <w:rsid w:val="0042456A"/>
    <w:rsid w:val="00442C46"/>
    <w:rsid w:val="00447117"/>
    <w:rsid w:val="00474DA8"/>
    <w:rsid w:val="0047741D"/>
    <w:rsid w:val="0048503A"/>
    <w:rsid w:val="004A45D4"/>
    <w:rsid w:val="004D7260"/>
    <w:rsid w:val="004F23B3"/>
    <w:rsid w:val="005041BB"/>
    <w:rsid w:val="00515B7F"/>
    <w:rsid w:val="00525728"/>
    <w:rsid w:val="00533525"/>
    <w:rsid w:val="00533667"/>
    <w:rsid w:val="005368C1"/>
    <w:rsid w:val="00547120"/>
    <w:rsid w:val="00547481"/>
    <w:rsid w:val="005515D9"/>
    <w:rsid w:val="00576A82"/>
    <w:rsid w:val="005A26AD"/>
    <w:rsid w:val="005B0C36"/>
    <w:rsid w:val="005C12B9"/>
    <w:rsid w:val="005D4F59"/>
    <w:rsid w:val="0060340A"/>
    <w:rsid w:val="0060374B"/>
    <w:rsid w:val="00604A18"/>
    <w:rsid w:val="00630F86"/>
    <w:rsid w:val="00633396"/>
    <w:rsid w:val="00645A0B"/>
    <w:rsid w:val="006555E6"/>
    <w:rsid w:val="006717AB"/>
    <w:rsid w:val="00674679"/>
    <w:rsid w:val="006879CA"/>
    <w:rsid w:val="00695DF4"/>
    <w:rsid w:val="006B645E"/>
    <w:rsid w:val="006B7116"/>
    <w:rsid w:val="006C04C1"/>
    <w:rsid w:val="006C209A"/>
    <w:rsid w:val="006D748F"/>
    <w:rsid w:val="006E09FB"/>
    <w:rsid w:val="006F2214"/>
    <w:rsid w:val="006F76A3"/>
    <w:rsid w:val="00707E99"/>
    <w:rsid w:val="00712E3F"/>
    <w:rsid w:val="00713633"/>
    <w:rsid w:val="0073635E"/>
    <w:rsid w:val="00742044"/>
    <w:rsid w:val="00745026"/>
    <w:rsid w:val="00766F71"/>
    <w:rsid w:val="00772B9C"/>
    <w:rsid w:val="00777EF3"/>
    <w:rsid w:val="00790F8A"/>
    <w:rsid w:val="00792A2B"/>
    <w:rsid w:val="007B4D3D"/>
    <w:rsid w:val="007C6289"/>
    <w:rsid w:val="007D610E"/>
    <w:rsid w:val="007F35CE"/>
    <w:rsid w:val="00837748"/>
    <w:rsid w:val="00893AD2"/>
    <w:rsid w:val="008A2F6B"/>
    <w:rsid w:val="008A42E3"/>
    <w:rsid w:val="008A5EFE"/>
    <w:rsid w:val="008A77AB"/>
    <w:rsid w:val="008B41C5"/>
    <w:rsid w:val="008C3B1A"/>
    <w:rsid w:val="008D3B75"/>
    <w:rsid w:val="008D623F"/>
    <w:rsid w:val="008F4B91"/>
    <w:rsid w:val="0090542C"/>
    <w:rsid w:val="009153B2"/>
    <w:rsid w:val="00922761"/>
    <w:rsid w:val="009350CB"/>
    <w:rsid w:val="00940323"/>
    <w:rsid w:val="00945281"/>
    <w:rsid w:val="00947D05"/>
    <w:rsid w:val="009538AE"/>
    <w:rsid w:val="009674A1"/>
    <w:rsid w:val="00980267"/>
    <w:rsid w:val="00983CD5"/>
    <w:rsid w:val="00992E79"/>
    <w:rsid w:val="00993D2F"/>
    <w:rsid w:val="009A5E0E"/>
    <w:rsid w:val="009A714A"/>
    <w:rsid w:val="009C0D8B"/>
    <w:rsid w:val="009C1143"/>
    <w:rsid w:val="009E48E0"/>
    <w:rsid w:val="00A00B4A"/>
    <w:rsid w:val="00A1406A"/>
    <w:rsid w:val="00A22D02"/>
    <w:rsid w:val="00A30426"/>
    <w:rsid w:val="00A33B5B"/>
    <w:rsid w:val="00A4702E"/>
    <w:rsid w:val="00A50754"/>
    <w:rsid w:val="00A55825"/>
    <w:rsid w:val="00A55DAC"/>
    <w:rsid w:val="00A56681"/>
    <w:rsid w:val="00A76482"/>
    <w:rsid w:val="00A87399"/>
    <w:rsid w:val="00AB2853"/>
    <w:rsid w:val="00AC4A99"/>
    <w:rsid w:val="00AC69B4"/>
    <w:rsid w:val="00B05FE8"/>
    <w:rsid w:val="00B1750C"/>
    <w:rsid w:val="00B1788B"/>
    <w:rsid w:val="00B3082D"/>
    <w:rsid w:val="00B443DD"/>
    <w:rsid w:val="00B44F06"/>
    <w:rsid w:val="00B51DB8"/>
    <w:rsid w:val="00B54026"/>
    <w:rsid w:val="00B62D79"/>
    <w:rsid w:val="00B70B91"/>
    <w:rsid w:val="00B716F5"/>
    <w:rsid w:val="00B72A06"/>
    <w:rsid w:val="00B766C4"/>
    <w:rsid w:val="00B92298"/>
    <w:rsid w:val="00BA2606"/>
    <w:rsid w:val="00BC6635"/>
    <w:rsid w:val="00BD2924"/>
    <w:rsid w:val="00BE2A3F"/>
    <w:rsid w:val="00C022F9"/>
    <w:rsid w:val="00C209E3"/>
    <w:rsid w:val="00C30128"/>
    <w:rsid w:val="00C33FA8"/>
    <w:rsid w:val="00C36409"/>
    <w:rsid w:val="00C47B54"/>
    <w:rsid w:val="00C52450"/>
    <w:rsid w:val="00C64ED1"/>
    <w:rsid w:val="00C66BAA"/>
    <w:rsid w:val="00C903AC"/>
    <w:rsid w:val="00CB32DF"/>
    <w:rsid w:val="00CB34AF"/>
    <w:rsid w:val="00CC3000"/>
    <w:rsid w:val="00CC3246"/>
    <w:rsid w:val="00CE3DA1"/>
    <w:rsid w:val="00CE4482"/>
    <w:rsid w:val="00CF6B60"/>
    <w:rsid w:val="00CF7677"/>
    <w:rsid w:val="00D03328"/>
    <w:rsid w:val="00D26E1E"/>
    <w:rsid w:val="00D36638"/>
    <w:rsid w:val="00D37BAE"/>
    <w:rsid w:val="00D772AB"/>
    <w:rsid w:val="00D90A00"/>
    <w:rsid w:val="00D91845"/>
    <w:rsid w:val="00D9371C"/>
    <w:rsid w:val="00DA1EF0"/>
    <w:rsid w:val="00DB3FD0"/>
    <w:rsid w:val="00DD2D13"/>
    <w:rsid w:val="00DE5E12"/>
    <w:rsid w:val="00DF3BF5"/>
    <w:rsid w:val="00E2196F"/>
    <w:rsid w:val="00E2276E"/>
    <w:rsid w:val="00E41950"/>
    <w:rsid w:val="00E51346"/>
    <w:rsid w:val="00E569CB"/>
    <w:rsid w:val="00E577A2"/>
    <w:rsid w:val="00E60A53"/>
    <w:rsid w:val="00E63940"/>
    <w:rsid w:val="00E733A5"/>
    <w:rsid w:val="00E753EC"/>
    <w:rsid w:val="00E84459"/>
    <w:rsid w:val="00E971A2"/>
    <w:rsid w:val="00EB2D32"/>
    <w:rsid w:val="00EB7C94"/>
    <w:rsid w:val="00ED257A"/>
    <w:rsid w:val="00EF590B"/>
    <w:rsid w:val="00F040CF"/>
    <w:rsid w:val="00F3057A"/>
    <w:rsid w:val="00F30E9C"/>
    <w:rsid w:val="00F4022F"/>
    <w:rsid w:val="00F43895"/>
    <w:rsid w:val="00F55E4D"/>
    <w:rsid w:val="00F61752"/>
    <w:rsid w:val="00F67F95"/>
    <w:rsid w:val="00F75C9D"/>
    <w:rsid w:val="00F90C28"/>
    <w:rsid w:val="00F96A72"/>
    <w:rsid w:val="00FA7E25"/>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2DA96"/>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242744"/>
    <w:pPr>
      <w:numPr>
        <w:numId w:val="43"/>
      </w:numPr>
      <w:contextualSpacing/>
    </w:pPr>
  </w:style>
  <w:style w:type="paragraph" w:styleId="BodyText">
    <w:name w:val="Body Text"/>
    <w:basedOn w:val="Normal"/>
    <w:link w:val="BodyTextChar"/>
    <w:semiHidden/>
    <w:unhideWhenUsed/>
    <w:rsid w:val="00A55DAC"/>
    <w:pPr>
      <w:widowControl w:val="0"/>
      <w:tabs>
        <w:tab w:val="left" w:pos="540"/>
      </w:tabs>
      <w:jc w:val="both"/>
    </w:pPr>
    <w:rPr>
      <w:sz w:val="24"/>
      <w:lang w:eastAsia="en-US"/>
    </w:rPr>
  </w:style>
  <w:style w:type="character" w:customStyle="1" w:styleId="BodyTextChar">
    <w:name w:val="Body Text Char"/>
    <w:basedOn w:val="DefaultParagraphFont"/>
    <w:link w:val="BodyText"/>
    <w:semiHidden/>
    <w:rsid w:val="00A55DAC"/>
    <w:rPr>
      <w:rFonts w:ascii="Arial" w:hAnsi="Arial"/>
      <w:sz w:val="24"/>
      <w:lang w:eastAsia="en-US"/>
    </w:rPr>
  </w:style>
  <w:style w:type="paragraph" w:styleId="BodyTextIndent">
    <w:name w:val="Body Text Indent"/>
    <w:basedOn w:val="Normal"/>
    <w:link w:val="BodyTextIndentChar"/>
    <w:semiHidden/>
    <w:unhideWhenUsed/>
    <w:rsid w:val="00A55DAC"/>
    <w:pPr>
      <w:widowControl w:val="0"/>
      <w:tabs>
        <w:tab w:val="left" w:pos="709"/>
      </w:tabs>
      <w:ind w:left="709" w:hanging="709"/>
    </w:pPr>
    <w:rPr>
      <w:sz w:val="24"/>
      <w:lang w:eastAsia="en-US"/>
    </w:rPr>
  </w:style>
  <w:style w:type="character" w:customStyle="1" w:styleId="BodyTextIndentChar">
    <w:name w:val="Body Text Indent Char"/>
    <w:basedOn w:val="DefaultParagraphFont"/>
    <w:link w:val="BodyTextIndent"/>
    <w:semiHidden/>
    <w:rsid w:val="00A55DAC"/>
    <w:rPr>
      <w:rFonts w:ascii="Arial" w:hAnsi="Arial"/>
      <w:sz w:val="24"/>
      <w:lang w:eastAsia="en-US"/>
    </w:rPr>
  </w:style>
  <w:style w:type="paragraph" w:customStyle="1" w:styleId="Style3">
    <w:name w:val="Style3"/>
    <w:basedOn w:val="Normal"/>
    <w:next w:val="Normal"/>
    <w:rsid w:val="00A55DAC"/>
    <w:pPr>
      <w:widowControl w:val="0"/>
      <w:tabs>
        <w:tab w:val="left" w:pos="540"/>
      </w:tabs>
      <w:jc w:val="both"/>
      <w:outlineLvl w:val="0"/>
    </w:pPr>
    <w:rPr>
      <w:bCs/>
      <w:iCs/>
      <w:spacing w:val="-6"/>
      <w:u w:val="single"/>
      <w:lang w:eastAsia="en-US"/>
    </w:rPr>
  </w:style>
  <w:style w:type="paragraph" w:customStyle="1" w:styleId="legp1paratext1">
    <w:name w:val="legp1paratext1"/>
    <w:basedOn w:val="Normal"/>
    <w:rsid w:val="009A5E0E"/>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paratext1">
    <w:name w:val="legp2paratext1"/>
    <w:basedOn w:val="Normal"/>
    <w:rsid w:val="009A5E0E"/>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text1">
    <w:name w:val="legp2text1"/>
    <w:basedOn w:val="Normal"/>
    <w:rsid w:val="009A5E0E"/>
    <w:pPr>
      <w:shd w:val="clear" w:color="auto" w:fill="FFFFFF"/>
      <w:spacing w:after="120" w:line="360" w:lineRule="atLeast"/>
      <w:jc w:val="both"/>
    </w:pPr>
    <w:rPr>
      <w:rFonts w:ascii="Times New Roman" w:hAnsi="Times New Roman"/>
      <w:color w:val="494949"/>
      <w:sz w:val="19"/>
      <w:szCs w:val="19"/>
    </w:rPr>
  </w:style>
  <w:style w:type="character" w:customStyle="1" w:styleId="legp1no3">
    <w:name w:val="legp1no3"/>
    <w:basedOn w:val="DefaultParagraphFont"/>
    <w:rsid w:val="009A5E0E"/>
    <w:rPr>
      <w:b/>
      <w:bCs/>
    </w:rPr>
  </w:style>
  <w:style w:type="paragraph" w:customStyle="1" w:styleId="legclearfix2">
    <w:name w:val="legclearfix2"/>
    <w:basedOn w:val="Normal"/>
    <w:rsid w:val="009A5E0E"/>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9A5E0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962690094">
      <w:bodyDiv w:val="1"/>
      <w:marLeft w:val="0"/>
      <w:marRight w:val="0"/>
      <w:marTop w:val="0"/>
      <w:marBottom w:val="0"/>
      <w:divBdr>
        <w:top w:val="none" w:sz="0" w:space="0" w:color="auto"/>
        <w:left w:val="none" w:sz="0" w:space="0" w:color="auto"/>
        <w:bottom w:val="none" w:sz="0" w:space="0" w:color="auto"/>
        <w:right w:val="none" w:sz="0" w:space="0" w:color="auto"/>
      </w:divBdr>
    </w:div>
    <w:div w:id="1967079452">
      <w:bodyDiv w:val="1"/>
      <w:marLeft w:val="0"/>
      <w:marRight w:val="0"/>
      <w:marTop w:val="0"/>
      <w:marBottom w:val="0"/>
      <w:divBdr>
        <w:top w:val="none" w:sz="0" w:space="0" w:color="auto"/>
        <w:left w:val="none" w:sz="0" w:space="0" w:color="auto"/>
        <w:bottom w:val="none" w:sz="0" w:space="0" w:color="auto"/>
        <w:right w:val="none" w:sz="0" w:space="0" w:color="auto"/>
      </w:divBdr>
      <w:divsChild>
        <w:div w:id="626592808">
          <w:marLeft w:val="0"/>
          <w:marRight w:val="0"/>
          <w:marTop w:val="0"/>
          <w:marBottom w:val="0"/>
          <w:divBdr>
            <w:top w:val="none" w:sz="0" w:space="0" w:color="auto"/>
            <w:left w:val="none" w:sz="0" w:space="0" w:color="auto"/>
            <w:bottom w:val="none" w:sz="0" w:space="0" w:color="auto"/>
            <w:right w:val="none" w:sz="0" w:space="0" w:color="auto"/>
          </w:divBdr>
          <w:divsChild>
            <w:div w:id="1771074689">
              <w:marLeft w:val="0"/>
              <w:marRight w:val="0"/>
              <w:marTop w:val="0"/>
              <w:marBottom w:val="0"/>
              <w:divBdr>
                <w:top w:val="single" w:sz="2" w:space="0" w:color="FFFFFF"/>
                <w:left w:val="single" w:sz="6" w:space="0" w:color="FFFFFF"/>
                <w:bottom w:val="single" w:sz="6" w:space="0" w:color="FFFFFF"/>
                <w:right w:val="single" w:sz="6" w:space="0" w:color="FFFFFF"/>
              </w:divBdr>
              <w:divsChild>
                <w:div w:id="1291134104">
                  <w:marLeft w:val="0"/>
                  <w:marRight w:val="0"/>
                  <w:marTop w:val="0"/>
                  <w:marBottom w:val="0"/>
                  <w:divBdr>
                    <w:top w:val="single" w:sz="6" w:space="1" w:color="D3D3D3"/>
                    <w:left w:val="none" w:sz="0" w:space="0" w:color="auto"/>
                    <w:bottom w:val="none" w:sz="0" w:space="0" w:color="auto"/>
                    <w:right w:val="none" w:sz="0" w:space="0" w:color="auto"/>
                  </w:divBdr>
                  <w:divsChild>
                    <w:div w:id="1827698134">
                      <w:marLeft w:val="0"/>
                      <w:marRight w:val="0"/>
                      <w:marTop w:val="0"/>
                      <w:marBottom w:val="0"/>
                      <w:divBdr>
                        <w:top w:val="none" w:sz="0" w:space="0" w:color="auto"/>
                        <w:left w:val="none" w:sz="0" w:space="0" w:color="auto"/>
                        <w:bottom w:val="none" w:sz="0" w:space="0" w:color="auto"/>
                        <w:right w:val="none" w:sz="0" w:space="0" w:color="auto"/>
                      </w:divBdr>
                      <w:divsChild>
                        <w:div w:id="1264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27B9-AECE-4988-B812-B8F3C9CC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2018-03-14T15:24:00Z</cp:lastPrinted>
  <dcterms:created xsi:type="dcterms:W3CDTF">2018-07-16T09:09:00Z</dcterms:created>
  <dcterms:modified xsi:type="dcterms:W3CDTF">2018-07-16T10:24:00Z</dcterms:modified>
</cp:coreProperties>
</file>